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630" w:rsidRPr="001E6723" w:rsidRDefault="005D316A" w:rsidP="008447B6">
      <w:pPr>
        <w:jc w:val="center"/>
        <w:rPr>
          <w:rFonts w:ascii="Times New Roman" w:hAnsi="Times New Roman"/>
          <w:sz w:val="24"/>
          <w:szCs w:val="24"/>
        </w:rPr>
      </w:pPr>
      <w:bookmarkStart w:id="0" w:name="_GoBack"/>
      <w:bookmarkEnd w:id="0"/>
      <w:r>
        <w:rPr>
          <w:rFonts w:ascii="Times New Roman" w:hAnsi="Times New Roman"/>
          <w:sz w:val="24"/>
          <w:szCs w:val="24"/>
        </w:rPr>
        <w:t>DER EUROPÄISCHE VERFASSUNGSVERBUND UNTER DRUCK</w:t>
      </w:r>
    </w:p>
    <w:p w:rsidR="008447B6" w:rsidRPr="001E6723" w:rsidRDefault="001E6723" w:rsidP="0039776D">
      <w:pPr>
        <w:pStyle w:val="Listenabsatz"/>
        <w:ind w:left="0"/>
        <w:jc w:val="center"/>
        <w:rPr>
          <w:rFonts w:ascii="Times New Roman" w:hAnsi="Times New Roman"/>
          <w:sz w:val="24"/>
          <w:szCs w:val="24"/>
        </w:rPr>
      </w:pPr>
      <w:r>
        <w:rPr>
          <w:rFonts w:ascii="Times New Roman" w:hAnsi="Times New Roman"/>
          <w:sz w:val="24"/>
          <w:szCs w:val="24"/>
        </w:rPr>
        <w:t xml:space="preserve">– </w:t>
      </w:r>
      <w:r w:rsidR="008447B6" w:rsidRPr="001E6723">
        <w:rPr>
          <w:rFonts w:ascii="Times New Roman" w:hAnsi="Times New Roman"/>
          <w:sz w:val="24"/>
          <w:szCs w:val="24"/>
        </w:rPr>
        <w:t>Z</w:t>
      </w:r>
      <w:r w:rsidR="0039776D">
        <w:rPr>
          <w:rFonts w:ascii="Times New Roman" w:hAnsi="Times New Roman"/>
          <w:sz w:val="24"/>
          <w:szCs w:val="24"/>
        </w:rPr>
        <w:t xml:space="preserve">UR ENTWICKLUNG DER VERFASSUNGSGERICHTSBARKEIT IN EUROPA </w:t>
      </w:r>
      <w:r w:rsidR="008447B6" w:rsidRPr="001E6723">
        <w:rPr>
          <w:rFonts w:ascii="Times New Roman" w:hAnsi="Times New Roman"/>
          <w:sz w:val="24"/>
          <w:szCs w:val="24"/>
        </w:rPr>
        <w:t>–</w:t>
      </w:r>
    </w:p>
    <w:p w:rsidR="008447B6" w:rsidRPr="004C738A" w:rsidRDefault="008447B6" w:rsidP="008447B6">
      <w:pPr>
        <w:jc w:val="center"/>
        <w:rPr>
          <w:rFonts w:ascii="Times New Roman" w:hAnsi="Times New Roman"/>
          <w:sz w:val="24"/>
          <w:szCs w:val="24"/>
        </w:rPr>
      </w:pPr>
    </w:p>
    <w:p w:rsidR="008447B6" w:rsidRDefault="00EE2824" w:rsidP="008447B6">
      <w:pPr>
        <w:jc w:val="center"/>
        <w:rPr>
          <w:rFonts w:ascii="Times New Roman" w:hAnsi="Times New Roman"/>
          <w:sz w:val="24"/>
          <w:szCs w:val="24"/>
        </w:rPr>
      </w:pPr>
      <w:r>
        <w:rPr>
          <w:rFonts w:ascii="Times New Roman" w:hAnsi="Times New Roman"/>
          <w:sz w:val="24"/>
          <w:szCs w:val="24"/>
        </w:rPr>
        <w:t xml:space="preserve">Von </w:t>
      </w:r>
      <w:r w:rsidR="008447B6" w:rsidRPr="004C738A">
        <w:rPr>
          <w:rFonts w:ascii="Times New Roman" w:hAnsi="Times New Roman"/>
          <w:sz w:val="24"/>
          <w:szCs w:val="24"/>
        </w:rPr>
        <w:t>BVR Peter M. Huber, Karlsruhe</w:t>
      </w:r>
      <w:r w:rsidR="00CB1CA4" w:rsidRPr="004C738A">
        <w:rPr>
          <w:rFonts w:ascii="Times New Roman" w:hAnsi="Times New Roman"/>
          <w:sz w:val="24"/>
          <w:szCs w:val="24"/>
        </w:rPr>
        <w:t xml:space="preserve"> / München</w:t>
      </w:r>
    </w:p>
    <w:p w:rsidR="00E03B15" w:rsidRDefault="00E03B15" w:rsidP="008447B6">
      <w:pPr>
        <w:jc w:val="center"/>
        <w:rPr>
          <w:rFonts w:ascii="Times New Roman" w:hAnsi="Times New Roman"/>
          <w:sz w:val="24"/>
          <w:szCs w:val="24"/>
        </w:rPr>
      </w:pPr>
    </w:p>
    <w:p w:rsidR="00E03B15" w:rsidRDefault="00E03B15" w:rsidP="008447B6">
      <w:pPr>
        <w:jc w:val="center"/>
        <w:rPr>
          <w:rFonts w:ascii="Times New Roman" w:hAnsi="Times New Roman"/>
          <w:sz w:val="24"/>
          <w:szCs w:val="24"/>
        </w:rPr>
      </w:pPr>
    </w:p>
    <w:p w:rsidR="00E03B15" w:rsidRDefault="00E03B15">
      <w:pPr>
        <w:pStyle w:val="Verzeichnis1"/>
        <w:tabs>
          <w:tab w:val="right" w:leader="dot" w:pos="9062"/>
        </w:tabs>
        <w:rPr>
          <w:noProof/>
        </w:rPr>
      </w:pPr>
      <w:r>
        <w:rPr>
          <w:rFonts w:ascii="Times New Roman" w:hAnsi="Times New Roman"/>
          <w:sz w:val="24"/>
          <w:szCs w:val="24"/>
        </w:rPr>
        <w:fldChar w:fldCharType="begin"/>
      </w:r>
      <w:r>
        <w:rPr>
          <w:rFonts w:ascii="Times New Roman" w:hAnsi="Times New Roman"/>
          <w:sz w:val="24"/>
          <w:szCs w:val="24"/>
        </w:rPr>
        <w:instrText xml:space="preserve"> TOC \o "1-5" \h \z \u </w:instrText>
      </w:r>
      <w:r>
        <w:rPr>
          <w:rFonts w:ascii="Times New Roman" w:hAnsi="Times New Roman"/>
          <w:sz w:val="24"/>
          <w:szCs w:val="24"/>
        </w:rPr>
        <w:fldChar w:fldCharType="separate"/>
      </w:r>
      <w:hyperlink w:anchor="_Toc498362296" w:history="1">
        <w:r w:rsidRPr="008A5353">
          <w:rPr>
            <w:rStyle w:val="Hyperlink"/>
            <w:rFonts w:ascii="Times New Roman" w:hAnsi="Times New Roman"/>
            <w:noProof/>
          </w:rPr>
          <w:t>I. Die Demontage von Justiz und Verfassungsgerichtsbarkeit im europäischen Rechtsraum</w:t>
        </w:r>
        <w:r>
          <w:rPr>
            <w:noProof/>
            <w:webHidden/>
          </w:rPr>
          <w:tab/>
        </w:r>
        <w:r>
          <w:rPr>
            <w:noProof/>
            <w:webHidden/>
          </w:rPr>
          <w:fldChar w:fldCharType="begin"/>
        </w:r>
        <w:r>
          <w:rPr>
            <w:noProof/>
            <w:webHidden/>
          </w:rPr>
          <w:instrText xml:space="preserve"> PAGEREF _Toc498362296 \h </w:instrText>
        </w:r>
        <w:r>
          <w:rPr>
            <w:noProof/>
            <w:webHidden/>
          </w:rPr>
        </w:r>
        <w:r>
          <w:rPr>
            <w:noProof/>
            <w:webHidden/>
          </w:rPr>
          <w:fldChar w:fldCharType="separate"/>
        </w:r>
        <w:r>
          <w:rPr>
            <w:noProof/>
            <w:webHidden/>
          </w:rPr>
          <w:t>2</w:t>
        </w:r>
        <w:r>
          <w:rPr>
            <w:noProof/>
            <w:webHidden/>
          </w:rPr>
          <w:fldChar w:fldCharType="end"/>
        </w:r>
      </w:hyperlink>
    </w:p>
    <w:p w:rsidR="00E03B15" w:rsidRDefault="00E26C5F">
      <w:pPr>
        <w:pStyle w:val="Verzeichnis2"/>
        <w:tabs>
          <w:tab w:val="right" w:leader="dot" w:pos="9062"/>
        </w:tabs>
        <w:rPr>
          <w:noProof/>
        </w:rPr>
      </w:pPr>
      <w:hyperlink w:anchor="_Toc498362297" w:history="1">
        <w:r w:rsidR="00E03B15" w:rsidRPr="008A5353">
          <w:rPr>
            <w:rStyle w:val="Hyperlink"/>
            <w:rFonts w:ascii="Times New Roman" w:hAnsi="Times New Roman"/>
            <w:noProof/>
          </w:rPr>
          <w:t>1. Ungarn</w:t>
        </w:r>
        <w:r w:rsidR="00E03B15">
          <w:rPr>
            <w:noProof/>
            <w:webHidden/>
          </w:rPr>
          <w:tab/>
        </w:r>
        <w:r w:rsidR="00E03B15">
          <w:rPr>
            <w:noProof/>
            <w:webHidden/>
          </w:rPr>
          <w:fldChar w:fldCharType="begin"/>
        </w:r>
        <w:r w:rsidR="00E03B15">
          <w:rPr>
            <w:noProof/>
            <w:webHidden/>
          </w:rPr>
          <w:instrText xml:space="preserve"> PAGEREF _Toc498362297 \h </w:instrText>
        </w:r>
        <w:r w:rsidR="00E03B15">
          <w:rPr>
            <w:noProof/>
            <w:webHidden/>
          </w:rPr>
        </w:r>
        <w:r w:rsidR="00E03B15">
          <w:rPr>
            <w:noProof/>
            <w:webHidden/>
          </w:rPr>
          <w:fldChar w:fldCharType="separate"/>
        </w:r>
        <w:r w:rsidR="00E03B15">
          <w:rPr>
            <w:noProof/>
            <w:webHidden/>
          </w:rPr>
          <w:t>3</w:t>
        </w:r>
        <w:r w:rsidR="00E03B15">
          <w:rPr>
            <w:noProof/>
            <w:webHidden/>
          </w:rPr>
          <w:fldChar w:fldCharType="end"/>
        </w:r>
      </w:hyperlink>
    </w:p>
    <w:p w:rsidR="00E03B15" w:rsidRDefault="00E26C5F">
      <w:pPr>
        <w:pStyle w:val="Verzeichnis2"/>
        <w:tabs>
          <w:tab w:val="right" w:leader="dot" w:pos="9062"/>
        </w:tabs>
        <w:rPr>
          <w:noProof/>
        </w:rPr>
      </w:pPr>
      <w:hyperlink w:anchor="_Toc498362298" w:history="1">
        <w:r w:rsidR="00E03B15" w:rsidRPr="008A5353">
          <w:rPr>
            <w:rStyle w:val="Hyperlink"/>
            <w:rFonts w:ascii="Times New Roman" w:hAnsi="Times New Roman"/>
            <w:noProof/>
          </w:rPr>
          <w:t>2. Polen</w:t>
        </w:r>
        <w:r w:rsidR="00E03B15">
          <w:rPr>
            <w:noProof/>
            <w:webHidden/>
          </w:rPr>
          <w:tab/>
        </w:r>
        <w:r w:rsidR="00E03B15">
          <w:rPr>
            <w:noProof/>
            <w:webHidden/>
          </w:rPr>
          <w:fldChar w:fldCharType="begin"/>
        </w:r>
        <w:r w:rsidR="00E03B15">
          <w:rPr>
            <w:noProof/>
            <w:webHidden/>
          </w:rPr>
          <w:instrText xml:space="preserve"> PAGEREF _Toc498362298 \h </w:instrText>
        </w:r>
        <w:r w:rsidR="00E03B15">
          <w:rPr>
            <w:noProof/>
            <w:webHidden/>
          </w:rPr>
        </w:r>
        <w:r w:rsidR="00E03B15">
          <w:rPr>
            <w:noProof/>
            <w:webHidden/>
          </w:rPr>
          <w:fldChar w:fldCharType="separate"/>
        </w:r>
        <w:r w:rsidR="00E03B15">
          <w:rPr>
            <w:noProof/>
            <w:webHidden/>
          </w:rPr>
          <w:t>4</w:t>
        </w:r>
        <w:r w:rsidR="00E03B15">
          <w:rPr>
            <w:noProof/>
            <w:webHidden/>
          </w:rPr>
          <w:fldChar w:fldCharType="end"/>
        </w:r>
      </w:hyperlink>
    </w:p>
    <w:p w:rsidR="00E03B15" w:rsidRDefault="00E26C5F">
      <w:pPr>
        <w:pStyle w:val="Verzeichnis4"/>
        <w:tabs>
          <w:tab w:val="right" w:leader="dot" w:pos="9062"/>
        </w:tabs>
        <w:rPr>
          <w:noProof/>
        </w:rPr>
      </w:pPr>
      <w:hyperlink w:anchor="_Toc498362299" w:history="1">
        <w:r w:rsidR="00E03B15" w:rsidRPr="008A5353">
          <w:rPr>
            <w:rStyle w:val="Hyperlink"/>
            <w:rFonts w:ascii="Times New Roman" w:hAnsi="Times New Roman"/>
            <w:noProof/>
          </w:rPr>
          <w:t>a) Die Entwicklung im Einzelnen</w:t>
        </w:r>
        <w:r w:rsidR="00E03B15">
          <w:rPr>
            <w:noProof/>
            <w:webHidden/>
          </w:rPr>
          <w:tab/>
        </w:r>
        <w:r w:rsidR="00E03B15">
          <w:rPr>
            <w:noProof/>
            <w:webHidden/>
          </w:rPr>
          <w:fldChar w:fldCharType="begin"/>
        </w:r>
        <w:r w:rsidR="00E03B15">
          <w:rPr>
            <w:noProof/>
            <w:webHidden/>
          </w:rPr>
          <w:instrText xml:space="preserve"> PAGEREF _Toc498362299 \h </w:instrText>
        </w:r>
        <w:r w:rsidR="00E03B15">
          <w:rPr>
            <w:noProof/>
            <w:webHidden/>
          </w:rPr>
        </w:r>
        <w:r w:rsidR="00E03B15">
          <w:rPr>
            <w:noProof/>
            <w:webHidden/>
          </w:rPr>
          <w:fldChar w:fldCharType="separate"/>
        </w:r>
        <w:r w:rsidR="00E03B15">
          <w:rPr>
            <w:noProof/>
            <w:webHidden/>
          </w:rPr>
          <w:t>4</w:t>
        </w:r>
        <w:r w:rsidR="00E03B15">
          <w:rPr>
            <w:noProof/>
            <w:webHidden/>
          </w:rPr>
          <w:fldChar w:fldCharType="end"/>
        </w:r>
      </w:hyperlink>
    </w:p>
    <w:p w:rsidR="00E03B15" w:rsidRDefault="00E26C5F">
      <w:pPr>
        <w:pStyle w:val="Verzeichnis4"/>
        <w:tabs>
          <w:tab w:val="right" w:leader="dot" w:pos="9062"/>
        </w:tabs>
        <w:rPr>
          <w:noProof/>
        </w:rPr>
      </w:pPr>
      <w:hyperlink w:anchor="_Toc498362300" w:history="1">
        <w:r w:rsidR="00E03B15" w:rsidRPr="008A5353">
          <w:rPr>
            <w:rStyle w:val="Hyperlink"/>
            <w:rFonts w:ascii="Times New Roman" w:hAnsi="Times New Roman"/>
            <w:noProof/>
          </w:rPr>
          <w:t>b) Reaktionen</w:t>
        </w:r>
        <w:r w:rsidR="00E03B15">
          <w:rPr>
            <w:noProof/>
            <w:webHidden/>
          </w:rPr>
          <w:tab/>
        </w:r>
        <w:r w:rsidR="00E03B15">
          <w:rPr>
            <w:noProof/>
            <w:webHidden/>
          </w:rPr>
          <w:fldChar w:fldCharType="begin"/>
        </w:r>
        <w:r w:rsidR="00E03B15">
          <w:rPr>
            <w:noProof/>
            <w:webHidden/>
          </w:rPr>
          <w:instrText xml:space="preserve"> PAGEREF _Toc498362300 \h </w:instrText>
        </w:r>
        <w:r w:rsidR="00E03B15">
          <w:rPr>
            <w:noProof/>
            <w:webHidden/>
          </w:rPr>
        </w:r>
        <w:r w:rsidR="00E03B15">
          <w:rPr>
            <w:noProof/>
            <w:webHidden/>
          </w:rPr>
          <w:fldChar w:fldCharType="separate"/>
        </w:r>
        <w:r w:rsidR="00E03B15">
          <w:rPr>
            <w:noProof/>
            <w:webHidden/>
          </w:rPr>
          <w:t>6</w:t>
        </w:r>
        <w:r w:rsidR="00E03B15">
          <w:rPr>
            <w:noProof/>
            <w:webHidden/>
          </w:rPr>
          <w:fldChar w:fldCharType="end"/>
        </w:r>
      </w:hyperlink>
    </w:p>
    <w:p w:rsidR="00E03B15" w:rsidRDefault="00E26C5F">
      <w:pPr>
        <w:pStyle w:val="Verzeichnis2"/>
        <w:tabs>
          <w:tab w:val="right" w:leader="dot" w:pos="9062"/>
        </w:tabs>
        <w:rPr>
          <w:noProof/>
        </w:rPr>
      </w:pPr>
      <w:hyperlink w:anchor="_Toc498362301" w:history="1">
        <w:r w:rsidR="00E03B15" w:rsidRPr="008A5353">
          <w:rPr>
            <w:rStyle w:val="Hyperlink"/>
            <w:rFonts w:ascii="Times New Roman" w:hAnsi="Times New Roman"/>
            <w:noProof/>
          </w:rPr>
          <w:t>3. Russland</w:t>
        </w:r>
        <w:r w:rsidR="00E03B15">
          <w:rPr>
            <w:noProof/>
            <w:webHidden/>
          </w:rPr>
          <w:tab/>
        </w:r>
        <w:r w:rsidR="00E03B15">
          <w:rPr>
            <w:noProof/>
            <w:webHidden/>
          </w:rPr>
          <w:fldChar w:fldCharType="begin"/>
        </w:r>
        <w:r w:rsidR="00E03B15">
          <w:rPr>
            <w:noProof/>
            <w:webHidden/>
          </w:rPr>
          <w:instrText xml:space="preserve"> PAGEREF _Toc498362301 \h </w:instrText>
        </w:r>
        <w:r w:rsidR="00E03B15">
          <w:rPr>
            <w:noProof/>
            <w:webHidden/>
          </w:rPr>
        </w:r>
        <w:r w:rsidR="00E03B15">
          <w:rPr>
            <w:noProof/>
            <w:webHidden/>
          </w:rPr>
          <w:fldChar w:fldCharType="separate"/>
        </w:r>
        <w:r w:rsidR="00E03B15">
          <w:rPr>
            <w:noProof/>
            <w:webHidden/>
          </w:rPr>
          <w:t>7</w:t>
        </w:r>
        <w:r w:rsidR="00E03B15">
          <w:rPr>
            <w:noProof/>
            <w:webHidden/>
          </w:rPr>
          <w:fldChar w:fldCharType="end"/>
        </w:r>
      </w:hyperlink>
    </w:p>
    <w:p w:rsidR="00E03B15" w:rsidRDefault="00E26C5F">
      <w:pPr>
        <w:pStyle w:val="Verzeichnis2"/>
        <w:tabs>
          <w:tab w:val="right" w:leader="dot" w:pos="9062"/>
        </w:tabs>
        <w:rPr>
          <w:noProof/>
        </w:rPr>
      </w:pPr>
      <w:hyperlink w:anchor="_Toc498362302" w:history="1">
        <w:r w:rsidR="00E03B15" w:rsidRPr="008A5353">
          <w:rPr>
            <w:rStyle w:val="Hyperlink"/>
            <w:rFonts w:ascii="Times New Roman" w:hAnsi="Times New Roman"/>
            <w:noProof/>
          </w:rPr>
          <w:t>4. Türkei</w:t>
        </w:r>
        <w:r w:rsidR="00E03B15">
          <w:rPr>
            <w:noProof/>
            <w:webHidden/>
          </w:rPr>
          <w:tab/>
        </w:r>
        <w:r w:rsidR="00E03B15">
          <w:rPr>
            <w:noProof/>
            <w:webHidden/>
          </w:rPr>
          <w:fldChar w:fldCharType="begin"/>
        </w:r>
        <w:r w:rsidR="00E03B15">
          <w:rPr>
            <w:noProof/>
            <w:webHidden/>
          </w:rPr>
          <w:instrText xml:space="preserve"> PAGEREF _Toc498362302 \h </w:instrText>
        </w:r>
        <w:r w:rsidR="00E03B15">
          <w:rPr>
            <w:noProof/>
            <w:webHidden/>
          </w:rPr>
        </w:r>
        <w:r w:rsidR="00E03B15">
          <w:rPr>
            <w:noProof/>
            <w:webHidden/>
          </w:rPr>
          <w:fldChar w:fldCharType="separate"/>
        </w:r>
        <w:r w:rsidR="00E03B15">
          <w:rPr>
            <w:noProof/>
            <w:webHidden/>
          </w:rPr>
          <w:t>9</w:t>
        </w:r>
        <w:r w:rsidR="00E03B15">
          <w:rPr>
            <w:noProof/>
            <w:webHidden/>
          </w:rPr>
          <w:fldChar w:fldCharType="end"/>
        </w:r>
      </w:hyperlink>
    </w:p>
    <w:p w:rsidR="00E03B15" w:rsidRDefault="00E26C5F">
      <w:pPr>
        <w:pStyle w:val="Verzeichnis2"/>
        <w:tabs>
          <w:tab w:val="right" w:leader="dot" w:pos="9062"/>
        </w:tabs>
        <w:rPr>
          <w:noProof/>
        </w:rPr>
      </w:pPr>
      <w:hyperlink w:anchor="_Toc498362303" w:history="1">
        <w:r w:rsidR="00E03B15" w:rsidRPr="008A5353">
          <w:rPr>
            <w:rStyle w:val="Hyperlink"/>
            <w:rFonts w:ascii="Times New Roman" w:hAnsi="Times New Roman"/>
            <w:noProof/>
          </w:rPr>
          <w:t>5. Verabsolutierung des „demokratischen Mehrheitswillens“</w:t>
        </w:r>
        <w:r w:rsidR="00E03B15">
          <w:rPr>
            <w:noProof/>
            <w:webHidden/>
          </w:rPr>
          <w:tab/>
        </w:r>
        <w:r w:rsidR="00E03B15">
          <w:rPr>
            <w:noProof/>
            <w:webHidden/>
          </w:rPr>
          <w:fldChar w:fldCharType="begin"/>
        </w:r>
        <w:r w:rsidR="00E03B15">
          <w:rPr>
            <w:noProof/>
            <w:webHidden/>
          </w:rPr>
          <w:instrText xml:space="preserve"> PAGEREF _Toc498362303 \h </w:instrText>
        </w:r>
        <w:r w:rsidR="00E03B15">
          <w:rPr>
            <w:noProof/>
            <w:webHidden/>
          </w:rPr>
        </w:r>
        <w:r w:rsidR="00E03B15">
          <w:rPr>
            <w:noProof/>
            <w:webHidden/>
          </w:rPr>
          <w:fldChar w:fldCharType="separate"/>
        </w:r>
        <w:r w:rsidR="00E03B15">
          <w:rPr>
            <w:noProof/>
            <w:webHidden/>
          </w:rPr>
          <w:t>10</w:t>
        </w:r>
        <w:r w:rsidR="00E03B15">
          <w:rPr>
            <w:noProof/>
            <w:webHidden/>
          </w:rPr>
          <w:fldChar w:fldCharType="end"/>
        </w:r>
      </w:hyperlink>
    </w:p>
    <w:p w:rsidR="00E03B15" w:rsidRDefault="00E26C5F">
      <w:pPr>
        <w:pStyle w:val="Verzeichnis1"/>
        <w:tabs>
          <w:tab w:val="right" w:leader="dot" w:pos="9062"/>
        </w:tabs>
        <w:rPr>
          <w:noProof/>
        </w:rPr>
      </w:pPr>
      <w:hyperlink w:anchor="_Toc498362304" w:history="1">
        <w:r w:rsidR="00E03B15" w:rsidRPr="008A5353">
          <w:rPr>
            <w:rStyle w:val="Hyperlink"/>
            <w:rFonts w:ascii="Times New Roman" w:hAnsi="Times New Roman"/>
            <w:noProof/>
          </w:rPr>
          <w:t>II. Interdependenzen im Verfassungsgerichtsverbund und im europäischen Rechtsraum</w:t>
        </w:r>
        <w:r w:rsidR="00E03B15">
          <w:rPr>
            <w:noProof/>
            <w:webHidden/>
          </w:rPr>
          <w:tab/>
        </w:r>
        <w:r w:rsidR="00E03B15">
          <w:rPr>
            <w:noProof/>
            <w:webHidden/>
          </w:rPr>
          <w:fldChar w:fldCharType="begin"/>
        </w:r>
        <w:r w:rsidR="00E03B15">
          <w:rPr>
            <w:noProof/>
            <w:webHidden/>
          </w:rPr>
          <w:instrText xml:space="preserve"> PAGEREF _Toc498362304 \h </w:instrText>
        </w:r>
        <w:r w:rsidR="00E03B15">
          <w:rPr>
            <w:noProof/>
            <w:webHidden/>
          </w:rPr>
        </w:r>
        <w:r w:rsidR="00E03B15">
          <w:rPr>
            <w:noProof/>
            <w:webHidden/>
          </w:rPr>
          <w:fldChar w:fldCharType="separate"/>
        </w:r>
        <w:r w:rsidR="00E03B15">
          <w:rPr>
            <w:noProof/>
            <w:webHidden/>
          </w:rPr>
          <w:t>13</w:t>
        </w:r>
        <w:r w:rsidR="00E03B15">
          <w:rPr>
            <w:noProof/>
            <w:webHidden/>
          </w:rPr>
          <w:fldChar w:fldCharType="end"/>
        </w:r>
      </w:hyperlink>
    </w:p>
    <w:p w:rsidR="00E03B15" w:rsidRDefault="00E26C5F">
      <w:pPr>
        <w:pStyle w:val="Verzeichnis2"/>
        <w:tabs>
          <w:tab w:val="right" w:leader="dot" w:pos="9062"/>
        </w:tabs>
        <w:rPr>
          <w:noProof/>
        </w:rPr>
      </w:pPr>
      <w:hyperlink w:anchor="_Toc498362305" w:history="1">
        <w:r w:rsidR="00E03B15" w:rsidRPr="008A5353">
          <w:rPr>
            <w:rStyle w:val="Hyperlink"/>
            <w:rFonts w:ascii="Times New Roman" w:hAnsi="Times New Roman"/>
            <w:noProof/>
          </w:rPr>
          <w:t>1. Allgemeines</w:t>
        </w:r>
        <w:r w:rsidR="00E03B15">
          <w:rPr>
            <w:noProof/>
            <w:webHidden/>
          </w:rPr>
          <w:tab/>
        </w:r>
        <w:r w:rsidR="00E03B15">
          <w:rPr>
            <w:noProof/>
            <w:webHidden/>
          </w:rPr>
          <w:fldChar w:fldCharType="begin"/>
        </w:r>
        <w:r w:rsidR="00E03B15">
          <w:rPr>
            <w:noProof/>
            <w:webHidden/>
          </w:rPr>
          <w:instrText xml:space="preserve"> PAGEREF _Toc498362305 \h </w:instrText>
        </w:r>
        <w:r w:rsidR="00E03B15">
          <w:rPr>
            <w:noProof/>
            <w:webHidden/>
          </w:rPr>
        </w:r>
        <w:r w:rsidR="00E03B15">
          <w:rPr>
            <w:noProof/>
            <w:webHidden/>
          </w:rPr>
          <w:fldChar w:fldCharType="separate"/>
        </w:r>
        <w:r w:rsidR="00E03B15">
          <w:rPr>
            <w:noProof/>
            <w:webHidden/>
          </w:rPr>
          <w:t>13</w:t>
        </w:r>
        <w:r w:rsidR="00E03B15">
          <w:rPr>
            <w:noProof/>
            <w:webHidden/>
          </w:rPr>
          <w:fldChar w:fldCharType="end"/>
        </w:r>
      </w:hyperlink>
    </w:p>
    <w:p w:rsidR="00E03B15" w:rsidRDefault="00E26C5F">
      <w:pPr>
        <w:pStyle w:val="Verzeichnis2"/>
        <w:tabs>
          <w:tab w:val="right" w:leader="dot" w:pos="9062"/>
        </w:tabs>
        <w:rPr>
          <w:noProof/>
        </w:rPr>
      </w:pPr>
      <w:hyperlink w:anchor="_Toc498362306" w:history="1">
        <w:r w:rsidR="00E03B15" w:rsidRPr="008A5353">
          <w:rPr>
            <w:rStyle w:val="Hyperlink"/>
            <w:rFonts w:ascii="Times New Roman" w:hAnsi="Times New Roman"/>
            <w:noProof/>
          </w:rPr>
          <w:t>2. Der unionale Rechtsprechungs- und Verfassungsgerichtsverbund</w:t>
        </w:r>
        <w:r w:rsidR="00E03B15">
          <w:rPr>
            <w:noProof/>
            <w:webHidden/>
          </w:rPr>
          <w:tab/>
        </w:r>
        <w:r w:rsidR="00E03B15">
          <w:rPr>
            <w:noProof/>
            <w:webHidden/>
          </w:rPr>
          <w:fldChar w:fldCharType="begin"/>
        </w:r>
        <w:r w:rsidR="00E03B15">
          <w:rPr>
            <w:noProof/>
            <w:webHidden/>
          </w:rPr>
          <w:instrText xml:space="preserve"> PAGEREF _Toc498362306 \h </w:instrText>
        </w:r>
        <w:r w:rsidR="00E03B15">
          <w:rPr>
            <w:noProof/>
            <w:webHidden/>
          </w:rPr>
        </w:r>
        <w:r w:rsidR="00E03B15">
          <w:rPr>
            <w:noProof/>
            <w:webHidden/>
          </w:rPr>
          <w:fldChar w:fldCharType="separate"/>
        </w:r>
        <w:r w:rsidR="00E03B15">
          <w:rPr>
            <w:noProof/>
            <w:webHidden/>
          </w:rPr>
          <w:t>14</w:t>
        </w:r>
        <w:r w:rsidR="00E03B15">
          <w:rPr>
            <w:noProof/>
            <w:webHidden/>
          </w:rPr>
          <w:fldChar w:fldCharType="end"/>
        </w:r>
      </w:hyperlink>
    </w:p>
    <w:p w:rsidR="00E03B15" w:rsidRDefault="00E26C5F">
      <w:pPr>
        <w:pStyle w:val="Verzeichnis4"/>
        <w:tabs>
          <w:tab w:val="right" w:leader="dot" w:pos="9062"/>
        </w:tabs>
        <w:rPr>
          <w:noProof/>
        </w:rPr>
      </w:pPr>
      <w:hyperlink w:anchor="_Toc498362307" w:history="1">
        <w:r w:rsidR="00E03B15" w:rsidRPr="008A5353">
          <w:rPr>
            <w:rStyle w:val="Hyperlink"/>
            <w:rFonts w:ascii="Times New Roman" w:hAnsi="Times New Roman"/>
            <w:noProof/>
          </w:rPr>
          <w:t>a) Durchsetzung des Unionsrechts</w:t>
        </w:r>
        <w:r w:rsidR="00E03B15">
          <w:rPr>
            <w:noProof/>
            <w:webHidden/>
          </w:rPr>
          <w:tab/>
        </w:r>
        <w:r w:rsidR="00E03B15">
          <w:rPr>
            <w:noProof/>
            <w:webHidden/>
          </w:rPr>
          <w:fldChar w:fldCharType="begin"/>
        </w:r>
        <w:r w:rsidR="00E03B15">
          <w:rPr>
            <w:noProof/>
            <w:webHidden/>
          </w:rPr>
          <w:instrText xml:space="preserve"> PAGEREF _Toc498362307 \h </w:instrText>
        </w:r>
        <w:r w:rsidR="00E03B15">
          <w:rPr>
            <w:noProof/>
            <w:webHidden/>
          </w:rPr>
        </w:r>
        <w:r w:rsidR="00E03B15">
          <w:rPr>
            <w:noProof/>
            <w:webHidden/>
          </w:rPr>
          <w:fldChar w:fldCharType="separate"/>
        </w:r>
        <w:r w:rsidR="00E03B15">
          <w:rPr>
            <w:noProof/>
            <w:webHidden/>
          </w:rPr>
          <w:t>15</w:t>
        </w:r>
        <w:r w:rsidR="00E03B15">
          <w:rPr>
            <w:noProof/>
            <w:webHidden/>
          </w:rPr>
          <w:fldChar w:fldCharType="end"/>
        </w:r>
      </w:hyperlink>
    </w:p>
    <w:p w:rsidR="00E03B15" w:rsidRDefault="00E26C5F">
      <w:pPr>
        <w:pStyle w:val="Verzeichnis4"/>
        <w:tabs>
          <w:tab w:val="right" w:leader="dot" w:pos="9062"/>
        </w:tabs>
        <w:rPr>
          <w:noProof/>
        </w:rPr>
      </w:pPr>
      <w:hyperlink w:anchor="_Toc498362308" w:history="1">
        <w:r w:rsidR="00E03B15" w:rsidRPr="008A5353">
          <w:rPr>
            <w:rStyle w:val="Hyperlink"/>
            <w:rFonts w:ascii="Times New Roman" w:hAnsi="Times New Roman"/>
            <w:noProof/>
          </w:rPr>
          <w:t>b) Verfassungsrechtliche Vorbehalte und ihre Durchsetzung in Deutschland – Ultra vires und Identitätskontrolle</w:t>
        </w:r>
        <w:r w:rsidR="00E03B15">
          <w:rPr>
            <w:noProof/>
            <w:webHidden/>
          </w:rPr>
          <w:tab/>
        </w:r>
        <w:r w:rsidR="00E03B15">
          <w:rPr>
            <w:noProof/>
            <w:webHidden/>
          </w:rPr>
          <w:fldChar w:fldCharType="begin"/>
        </w:r>
        <w:r w:rsidR="00E03B15">
          <w:rPr>
            <w:noProof/>
            <w:webHidden/>
          </w:rPr>
          <w:instrText xml:space="preserve"> PAGEREF _Toc498362308 \h </w:instrText>
        </w:r>
        <w:r w:rsidR="00E03B15">
          <w:rPr>
            <w:noProof/>
            <w:webHidden/>
          </w:rPr>
        </w:r>
        <w:r w:rsidR="00E03B15">
          <w:rPr>
            <w:noProof/>
            <w:webHidden/>
          </w:rPr>
          <w:fldChar w:fldCharType="separate"/>
        </w:r>
        <w:r w:rsidR="00E03B15">
          <w:rPr>
            <w:noProof/>
            <w:webHidden/>
          </w:rPr>
          <w:t>17</w:t>
        </w:r>
        <w:r w:rsidR="00E03B15">
          <w:rPr>
            <w:noProof/>
            <w:webHidden/>
          </w:rPr>
          <w:fldChar w:fldCharType="end"/>
        </w:r>
      </w:hyperlink>
    </w:p>
    <w:p w:rsidR="00E03B15" w:rsidRDefault="00E26C5F">
      <w:pPr>
        <w:pStyle w:val="Verzeichnis4"/>
        <w:tabs>
          <w:tab w:val="right" w:leader="dot" w:pos="9062"/>
        </w:tabs>
        <w:rPr>
          <w:noProof/>
        </w:rPr>
      </w:pPr>
      <w:hyperlink w:anchor="_Toc498362309" w:history="1">
        <w:r w:rsidR="00E03B15" w:rsidRPr="008A5353">
          <w:rPr>
            <w:rStyle w:val="Hyperlink"/>
            <w:rFonts w:ascii="Times New Roman" w:hAnsi="Times New Roman"/>
            <w:noProof/>
          </w:rPr>
          <w:t>c) Verfassungsrechtliche Kontrollvorbehalte in anderen Mitgliedstaaten</w:t>
        </w:r>
        <w:r w:rsidR="00E03B15">
          <w:rPr>
            <w:noProof/>
            <w:webHidden/>
          </w:rPr>
          <w:tab/>
        </w:r>
        <w:r w:rsidR="00E03B15">
          <w:rPr>
            <w:noProof/>
            <w:webHidden/>
          </w:rPr>
          <w:fldChar w:fldCharType="begin"/>
        </w:r>
        <w:r w:rsidR="00E03B15">
          <w:rPr>
            <w:noProof/>
            <w:webHidden/>
          </w:rPr>
          <w:instrText xml:space="preserve"> PAGEREF _Toc498362309 \h </w:instrText>
        </w:r>
        <w:r w:rsidR="00E03B15">
          <w:rPr>
            <w:noProof/>
            <w:webHidden/>
          </w:rPr>
        </w:r>
        <w:r w:rsidR="00E03B15">
          <w:rPr>
            <w:noProof/>
            <w:webHidden/>
          </w:rPr>
          <w:fldChar w:fldCharType="separate"/>
        </w:r>
        <w:r w:rsidR="00E03B15">
          <w:rPr>
            <w:noProof/>
            <w:webHidden/>
          </w:rPr>
          <w:t>19</w:t>
        </w:r>
        <w:r w:rsidR="00E03B15">
          <w:rPr>
            <w:noProof/>
            <w:webHidden/>
          </w:rPr>
          <w:fldChar w:fldCharType="end"/>
        </w:r>
      </w:hyperlink>
    </w:p>
    <w:p w:rsidR="00E03B15" w:rsidRDefault="00E26C5F">
      <w:pPr>
        <w:pStyle w:val="Verzeichnis4"/>
        <w:tabs>
          <w:tab w:val="right" w:leader="dot" w:pos="9062"/>
        </w:tabs>
        <w:rPr>
          <w:noProof/>
        </w:rPr>
      </w:pPr>
      <w:hyperlink w:anchor="_Toc498362310" w:history="1">
        <w:r w:rsidR="00E03B15" w:rsidRPr="008A5353">
          <w:rPr>
            <w:rStyle w:val="Hyperlink"/>
            <w:rFonts w:ascii="Times New Roman" w:hAnsi="Times New Roman"/>
            <w:noProof/>
          </w:rPr>
          <w:t>d) Funktionsbedingungen des Rechtsprechungs- und Verfassungsgerichtverbundes</w:t>
        </w:r>
        <w:r w:rsidR="00E03B15">
          <w:rPr>
            <w:noProof/>
            <w:webHidden/>
          </w:rPr>
          <w:tab/>
        </w:r>
        <w:r w:rsidR="00E03B15">
          <w:rPr>
            <w:noProof/>
            <w:webHidden/>
          </w:rPr>
          <w:fldChar w:fldCharType="begin"/>
        </w:r>
        <w:r w:rsidR="00E03B15">
          <w:rPr>
            <w:noProof/>
            <w:webHidden/>
          </w:rPr>
          <w:instrText xml:space="preserve"> PAGEREF _Toc498362310 \h </w:instrText>
        </w:r>
        <w:r w:rsidR="00E03B15">
          <w:rPr>
            <w:noProof/>
            <w:webHidden/>
          </w:rPr>
        </w:r>
        <w:r w:rsidR="00E03B15">
          <w:rPr>
            <w:noProof/>
            <w:webHidden/>
          </w:rPr>
          <w:fldChar w:fldCharType="separate"/>
        </w:r>
        <w:r w:rsidR="00E03B15">
          <w:rPr>
            <w:noProof/>
            <w:webHidden/>
          </w:rPr>
          <w:t>20</w:t>
        </w:r>
        <w:r w:rsidR="00E03B15">
          <w:rPr>
            <w:noProof/>
            <w:webHidden/>
          </w:rPr>
          <w:fldChar w:fldCharType="end"/>
        </w:r>
      </w:hyperlink>
    </w:p>
    <w:p w:rsidR="00E03B15" w:rsidRDefault="00E26C5F">
      <w:pPr>
        <w:pStyle w:val="Verzeichnis2"/>
        <w:tabs>
          <w:tab w:val="right" w:leader="dot" w:pos="9062"/>
        </w:tabs>
        <w:rPr>
          <w:noProof/>
        </w:rPr>
      </w:pPr>
      <w:hyperlink w:anchor="_Toc498362311" w:history="1">
        <w:r w:rsidR="00E03B15" w:rsidRPr="008A5353">
          <w:rPr>
            <w:rStyle w:val="Hyperlink"/>
            <w:rFonts w:ascii="Times New Roman" w:hAnsi="Times New Roman"/>
            <w:noProof/>
          </w:rPr>
          <w:t>3. Rechtsstaatliche Kooperation im europäischen Rechtsraum i.w.S.</w:t>
        </w:r>
        <w:r w:rsidR="00E03B15">
          <w:rPr>
            <w:noProof/>
            <w:webHidden/>
          </w:rPr>
          <w:tab/>
        </w:r>
        <w:r w:rsidR="00E03B15">
          <w:rPr>
            <w:noProof/>
            <w:webHidden/>
          </w:rPr>
          <w:fldChar w:fldCharType="begin"/>
        </w:r>
        <w:r w:rsidR="00E03B15">
          <w:rPr>
            <w:noProof/>
            <w:webHidden/>
          </w:rPr>
          <w:instrText xml:space="preserve"> PAGEREF _Toc498362311 \h </w:instrText>
        </w:r>
        <w:r w:rsidR="00E03B15">
          <w:rPr>
            <w:noProof/>
            <w:webHidden/>
          </w:rPr>
        </w:r>
        <w:r w:rsidR="00E03B15">
          <w:rPr>
            <w:noProof/>
            <w:webHidden/>
          </w:rPr>
          <w:fldChar w:fldCharType="separate"/>
        </w:r>
        <w:r w:rsidR="00E03B15">
          <w:rPr>
            <w:noProof/>
            <w:webHidden/>
          </w:rPr>
          <w:t>22</w:t>
        </w:r>
        <w:r w:rsidR="00E03B15">
          <w:rPr>
            <w:noProof/>
            <w:webHidden/>
          </w:rPr>
          <w:fldChar w:fldCharType="end"/>
        </w:r>
      </w:hyperlink>
    </w:p>
    <w:p w:rsidR="00E03B15" w:rsidRDefault="00E26C5F">
      <w:pPr>
        <w:pStyle w:val="Verzeichnis1"/>
        <w:tabs>
          <w:tab w:val="right" w:leader="dot" w:pos="9062"/>
        </w:tabs>
        <w:rPr>
          <w:noProof/>
        </w:rPr>
      </w:pPr>
      <w:hyperlink w:anchor="_Toc498362312" w:history="1">
        <w:r w:rsidR="00E03B15" w:rsidRPr="008A5353">
          <w:rPr>
            <w:rStyle w:val="Hyperlink"/>
            <w:rFonts w:ascii="Times New Roman" w:hAnsi="Times New Roman"/>
            <w:noProof/>
          </w:rPr>
          <w:t>III. Reaktionsmöglichkeiten im Rechtsprechungs- und Verfassungsgerichtsverbund</w:t>
        </w:r>
        <w:r w:rsidR="00E03B15">
          <w:rPr>
            <w:noProof/>
            <w:webHidden/>
          </w:rPr>
          <w:tab/>
        </w:r>
        <w:r w:rsidR="00E03B15">
          <w:rPr>
            <w:noProof/>
            <w:webHidden/>
          </w:rPr>
          <w:fldChar w:fldCharType="begin"/>
        </w:r>
        <w:r w:rsidR="00E03B15">
          <w:rPr>
            <w:noProof/>
            <w:webHidden/>
          </w:rPr>
          <w:instrText xml:space="preserve"> PAGEREF _Toc498362312 \h </w:instrText>
        </w:r>
        <w:r w:rsidR="00E03B15">
          <w:rPr>
            <w:noProof/>
            <w:webHidden/>
          </w:rPr>
        </w:r>
        <w:r w:rsidR="00E03B15">
          <w:rPr>
            <w:noProof/>
            <w:webHidden/>
          </w:rPr>
          <w:fldChar w:fldCharType="separate"/>
        </w:r>
        <w:r w:rsidR="00E03B15">
          <w:rPr>
            <w:noProof/>
            <w:webHidden/>
          </w:rPr>
          <w:t>22</w:t>
        </w:r>
        <w:r w:rsidR="00E03B15">
          <w:rPr>
            <w:noProof/>
            <w:webHidden/>
          </w:rPr>
          <w:fldChar w:fldCharType="end"/>
        </w:r>
      </w:hyperlink>
    </w:p>
    <w:p w:rsidR="00E03B15" w:rsidRDefault="00E26C5F">
      <w:pPr>
        <w:pStyle w:val="Verzeichnis2"/>
        <w:tabs>
          <w:tab w:val="right" w:leader="dot" w:pos="9062"/>
        </w:tabs>
        <w:rPr>
          <w:noProof/>
        </w:rPr>
      </w:pPr>
      <w:hyperlink w:anchor="_Toc498362313" w:history="1">
        <w:r w:rsidR="00E03B15" w:rsidRPr="008A5353">
          <w:rPr>
            <w:rStyle w:val="Hyperlink"/>
            <w:rFonts w:ascii="Times New Roman" w:hAnsi="Times New Roman"/>
            <w:noProof/>
          </w:rPr>
          <w:t>1. Formelle Instrumente</w:t>
        </w:r>
        <w:r w:rsidR="00E03B15">
          <w:rPr>
            <w:noProof/>
            <w:webHidden/>
          </w:rPr>
          <w:tab/>
        </w:r>
        <w:r w:rsidR="00E03B15">
          <w:rPr>
            <w:noProof/>
            <w:webHidden/>
          </w:rPr>
          <w:fldChar w:fldCharType="begin"/>
        </w:r>
        <w:r w:rsidR="00E03B15">
          <w:rPr>
            <w:noProof/>
            <w:webHidden/>
          </w:rPr>
          <w:instrText xml:space="preserve"> PAGEREF _Toc498362313 \h </w:instrText>
        </w:r>
        <w:r w:rsidR="00E03B15">
          <w:rPr>
            <w:noProof/>
            <w:webHidden/>
          </w:rPr>
        </w:r>
        <w:r w:rsidR="00E03B15">
          <w:rPr>
            <w:noProof/>
            <w:webHidden/>
          </w:rPr>
          <w:fldChar w:fldCharType="separate"/>
        </w:r>
        <w:r w:rsidR="00E03B15">
          <w:rPr>
            <w:noProof/>
            <w:webHidden/>
          </w:rPr>
          <w:t>22</w:t>
        </w:r>
        <w:r w:rsidR="00E03B15">
          <w:rPr>
            <w:noProof/>
            <w:webHidden/>
          </w:rPr>
          <w:fldChar w:fldCharType="end"/>
        </w:r>
      </w:hyperlink>
    </w:p>
    <w:p w:rsidR="00E03B15" w:rsidRDefault="00E26C5F">
      <w:pPr>
        <w:pStyle w:val="Verzeichnis2"/>
        <w:tabs>
          <w:tab w:val="right" w:leader="dot" w:pos="9062"/>
        </w:tabs>
        <w:rPr>
          <w:noProof/>
        </w:rPr>
      </w:pPr>
      <w:hyperlink w:anchor="_Toc498362314" w:history="1">
        <w:r w:rsidR="00E03B15" w:rsidRPr="008A5353">
          <w:rPr>
            <w:rStyle w:val="Hyperlink"/>
            <w:rFonts w:ascii="Times New Roman" w:eastAsiaTheme="minorHAnsi" w:hAnsi="Times New Roman"/>
            <w:noProof/>
            <w:lang w:eastAsia="en-US"/>
          </w:rPr>
          <w:t>2. Informelle Instrumente</w:t>
        </w:r>
        <w:r w:rsidR="00E03B15">
          <w:rPr>
            <w:noProof/>
            <w:webHidden/>
          </w:rPr>
          <w:tab/>
        </w:r>
        <w:r w:rsidR="00E03B15">
          <w:rPr>
            <w:noProof/>
            <w:webHidden/>
          </w:rPr>
          <w:fldChar w:fldCharType="begin"/>
        </w:r>
        <w:r w:rsidR="00E03B15">
          <w:rPr>
            <w:noProof/>
            <w:webHidden/>
          </w:rPr>
          <w:instrText xml:space="preserve"> PAGEREF _Toc498362314 \h </w:instrText>
        </w:r>
        <w:r w:rsidR="00E03B15">
          <w:rPr>
            <w:noProof/>
            <w:webHidden/>
          </w:rPr>
        </w:r>
        <w:r w:rsidR="00E03B15">
          <w:rPr>
            <w:noProof/>
            <w:webHidden/>
          </w:rPr>
          <w:fldChar w:fldCharType="separate"/>
        </w:r>
        <w:r w:rsidR="00E03B15">
          <w:rPr>
            <w:noProof/>
            <w:webHidden/>
          </w:rPr>
          <w:t>23</w:t>
        </w:r>
        <w:r w:rsidR="00E03B15">
          <w:rPr>
            <w:noProof/>
            <w:webHidden/>
          </w:rPr>
          <w:fldChar w:fldCharType="end"/>
        </w:r>
      </w:hyperlink>
    </w:p>
    <w:p w:rsidR="00E03B15" w:rsidRDefault="00E26C5F">
      <w:pPr>
        <w:pStyle w:val="Verzeichnis2"/>
        <w:tabs>
          <w:tab w:val="right" w:leader="dot" w:pos="9062"/>
        </w:tabs>
        <w:rPr>
          <w:noProof/>
        </w:rPr>
      </w:pPr>
      <w:hyperlink w:anchor="_Toc498362315" w:history="1">
        <w:r w:rsidR="00E03B15" w:rsidRPr="008A5353">
          <w:rPr>
            <w:rStyle w:val="Hyperlink"/>
            <w:rFonts w:ascii="Times New Roman" w:hAnsi="Times New Roman"/>
            <w:noProof/>
            <w:lang w:eastAsia="en-US"/>
          </w:rPr>
          <w:t>3. Zwischenfazit</w:t>
        </w:r>
        <w:r w:rsidR="00E03B15">
          <w:rPr>
            <w:noProof/>
            <w:webHidden/>
          </w:rPr>
          <w:tab/>
        </w:r>
        <w:r w:rsidR="00E03B15">
          <w:rPr>
            <w:noProof/>
            <w:webHidden/>
          </w:rPr>
          <w:fldChar w:fldCharType="begin"/>
        </w:r>
        <w:r w:rsidR="00E03B15">
          <w:rPr>
            <w:noProof/>
            <w:webHidden/>
          </w:rPr>
          <w:instrText xml:space="preserve"> PAGEREF _Toc498362315 \h </w:instrText>
        </w:r>
        <w:r w:rsidR="00E03B15">
          <w:rPr>
            <w:noProof/>
            <w:webHidden/>
          </w:rPr>
        </w:r>
        <w:r w:rsidR="00E03B15">
          <w:rPr>
            <w:noProof/>
            <w:webHidden/>
          </w:rPr>
          <w:fldChar w:fldCharType="separate"/>
        </w:r>
        <w:r w:rsidR="00E03B15">
          <w:rPr>
            <w:noProof/>
            <w:webHidden/>
          </w:rPr>
          <w:t>25</w:t>
        </w:r>
        <w:r w:rsidR="00E03B15">
          <w:rPr>
            <w:noProof/>
            <w:webHidden/>
          </w:rPr>
          <w:fldChar w:fldCharType="end"/>
        </w:r>
      </w:hyperlink>
    </w:p>
    <w:p w:rsidR="00E03B15" w:rsidRDefault="00E26C5F">
      <w:pPr>
        <w:pStyle w:val="Verzeichnis1"/>
        <w:tabs>
          <w:tab w:val="right" w:leader="dot" w:pos="9062"/>
        </w:tabs>
        <w:rPr>
          <w:noProof/>
        </w:rPr>
      </w:pPr>
      <w:hyperlink w:anchor="_Toc498362316" w:history="1">
        <w:r w:rsidR="00E03B15" w:rsidRPr="008A5353">
          <w:rPr>
            <w:rStyle w:val="Hyperlink"/>
            <w:rFonts w:ascii="Times New Roman" w:hAnsi="Times New Roman"/>
            <w:noProof/>
            <w:lang w:eastAsia="en-US"/>
          </w:rPr>
          <w:t>IV. Denkbare Lehren</w:t>
        </w:r>
        <w:r w:rsidR="00E03B15">
          <w:rPr>
            <w:noProof/>
            <w:webHidden/>
          </w:rPr>
          <w:tab/>
        </w:r>
        <w:r w:rsidR="00E03B15">
          <w:rPr>
            <w:noProof/>
            <w:webHidden/>
          </w:rPr>
          <w:fldChar w:fldCharType="begin"/>
        </w:r>
        <w:r w:rsidR="00E03B15">
          <w:rPr>
            <w:noProof/>
            <w:webHidden/>
          </w:rPr>
          <w:instrText xml:space="preserve"> PAGEREF _Toc498362316 \h </w:instrText>
        </w:r>
        <w:r w:rsidR="00E03B15">
          <w:rPr>
            <w:noProof/>
            <w:webHidden/>
          </w:rPr>
        </w:r>
        <w:r w:rsidR="00E03B15">
          <w:rPr>
            <w:noProof/>
            <w:webHidden/>
          </w:rPr>
          <w:fldChar w:fldCharType="separate"/>
        </w:r>
        <w:r w:rsidR="00E03B15">
          <w:rPr>
            <w:noProof/>
            <w:webHidden/>
          </w:rPr>
          <w:t>25</w:t>
        </w:r>
        <w:r w:rsidR="00E03B15">
          <w:rPr>
            <w:noProof/>
            <w:webHidden/>
          </w:rPr>
          <w:fldChar w:fldCharType="end"/>
        </w:r>
      </w:hyperlink>
    </w:p>
    <w:p w:rsidR="00E03B15" w:rsidRPr="004C738A" w:rsidRDefault="00E03B15" w:rsidP="008447B6">
      <w:pPr>
        <w:jc w:val="center"/>
        <w:rPr>
          <w:rFonts w:ascii="Times New Roman" w:hAnsi="Times New Roman"/>
          <w:sz w:val="24"/>
          <w:szCs w:val="24"/>
        </w:rPr>
      </w:pPr>
      <w:r>
        <w:rPr>
          <w:rFonts w:ascii="Times New Roman" w:hAnsi="Times New Roman"/>
          <w:sz w:val="24"/>
          <w:szCs w:val="24"/>
        </w:rPr>
        <w:fldChar w:fldCharType="end"/>
      </w:r>
    </w:p>
    <w:p w:rsidR="008447B6" w:rsidRPr="004C738A" w:rsidRDefault="008447B6" w:rsidP="008447B6">
      <w:pPr>
        <w:jc w:val="center"/>
        <w:rPr>
          <w:rFonts w:ascii="Times New Roman" w:hAnsi="Times New Roman"/>
          <w:sz w:val="24"/>
          <w:szCs w:val="24"/>
        </w:rPr>
      </w:pPr>
    </w:p>
    <w:p w:rsidR="007E593B" w:rsidRPr="004C738A" w:rsidRDefault="00CB1CA4" w:rsidP="002B5DC7">
      <w:pPr>
        <w:rPr>
          <w:rFonts w:ascii="Times New Roman" w:hAnsi="Times New Roman"/>
          <w:sz w:val="24"/>
          <w:szCs w:val="24"/>
        </w:rPr>
      </w:pPr>
      <w:r w:rsidRPr="004C738A">
        <w:rPr>
          <w:rFonts w:ascii="Times New Roman" w:hAnsi="Times New Roman"/>
          <w:sz w:val="24"/>
          <w:szCs w:val="24"/>
        </w:rPr>
        <w:lastRenderedPageBreak/>
        <w:t>Nach der Zeitenwende der Jahre 1989/90 schien es, als habe der demokratische Rechts</w:t>
      </w:r>
      <w:r w:rsidR="006D0400" w:rsidRPr="004C738A">
        <w:rPr>
          <w:rFonts w:ascii="Times New Roman" w:hAnsi="Times New Roman"/>
          <w:sz w:val="24"/>
          <w:szCs w:val="24"/>
        </w:rPr>
        <w:t>- und Verfassungs</w:t>
      </w:r>
      <w:r w:rsidRPr="004C738A">
        <w:rPr>
          <w:rFonts w:ascii="Times New Roman" w:hAnsi="Times New Roman"/>
          <w:sz w:val="24"/>
          <w:szCs w:val="24"/>
        </w:rPr>
        <w:t>staat</w:t>
      </w:r>
      <w:r w:rsidR="00E04F47" w:rsidRPr="004C738A">
        <w:rPr>
          <w:rFonts w:ascii="Times New Roman" w:hAnsi="Times New Roman"/>
          <w:sz w:val="24"/>
          <w:szCs w:val="24"/>
        </w:rPr>
        <w:t xml:space="preserve"> </w:t>
      </w:r>
      <w:r w:rsidR="00C91A14" w:rsidRPr="004C738A">
        <w:rPr>
          <w:rFonts w:ascii="Times New Roman" w:hAnsi="Times New Roman"/>
          <w:sz w:val="24"/>
          <w:szCs w:val="24"/>
        </w:rPr>
        <w:t xml:space="preserve">endgültig triumphiert, als würde </w:t>
      </w:r>
      <w:r w:rsidRPr="004C738A">
        <w:rPr>
          <w:rFonts w:ascii="Times New Roman" w:hAnsi="Times New Roman"/>
          <w:i/>
          <w:sz w:val="24"/>
          <w:szCs w:val="24"/>
        </w:rPr>
        <w:t xml:space="preserve">Francis Fukuyamas </w:t>
      </w:r>
      <w:r w:rsidRPr="004C738A">
        <w:rPr>
          <w:rFonts w:ascii="Times New Roman" w:hAnsi="Times New Roman"/>
          <w:sz w:val="24"/>
          <w:szCs w:val="24"/>
        </w:rPr>
        <w:t>These vom Ende der Geschichte</w:t>
      </w:r>
      <w:r w:rsidRPr="004C738A">
        <w:rPr>
          <w:rStyle w:val="Funotenzeichen"/>
          <w:rFonts w:ascii="Times New Roman" w:hAnsi="Times New Roman" w:cs="Times New Roman"/>
          <w:sz w:val="24"/>
          <w:szCs w:val="24"/>
        </w:rPr>
        <w:footnoteReference w:id="1"/>
      </w:r>
      <w:r w:rsidRPr="004C738A">
        <w:rPr>
          <w:rFonts w:ascii="Times New Roman" w:hAnsi="Times New Roman"/>
          <w:sz w:val="24"/>
          <w:szCs w:val="24"/>
        </w:rPr>
        <w:t xml:space="preserve"> </w:t>
      </w:r>
      <w:r w:rsidR="00E04F47" w:rsidRPr="004C738A">
        <w:rPr>
          <w:rFonts w:ascii="Times New Roman" w:hAnsi="Times New Roman"/>
          <w:sz w:val="24"/>
          <w:szCs w:val="24"/>
        </w:rPr>
        <w:t xml:space="preserve">jedenfalls in Europa </w:t>
      </w:r>
      <w:r w:rsidR="00C91A14" w:rsidRPr="004C738A">
        <w:rPr>
          <w:rFonts w:ascii="Times New Roman" w:hAnsi="Times New Roman"/>
          <w:sz w:val="24"/>
          <w:szCs w:val="24"/>
        </w:rPr>
        <w:t xml:space="preserve">tatsächlich Realität. Ein gutes Vierteljahrhundert später ist dieser Optimismus verflogen. </w:t>
      </w:r>
      <w:r w:rsidR="00E04F47" w:rsidRPr="004C738A">
        <w:rPr>
          <w:rFonts w:ascii="Times New Roman" w:hAnsi="Times New Roman"/>
          <w:sz w:val="24"/>
          <w:szCs w:val="24"/>
        </w:rPr>
        <w:t>I</w:t>
      </w:r>
      <w:r w:rsidR="00C91A14" w:rsidRPr="004C738A">
        <w:rPr>
          <w:rFonts w:ascii="Times New Roman" w:hAnsi="Times New Roman"/>
          <w:sz w:val="24"/>
          <w:szCs w:val="24"/>
        </w:rPr>
        <w:t xml:space="preserve">n </w:t>
      </w:r>
      <w:r w:rsidR="00E04F47" w:rsidRPr="004C738A">
        <w:rPr>
          <w:rFonts w:ascii="Times New Roman" w:hAnsi="Times New Roman"/>
          <w:sz w:val="24"/>
          <w:szCs w:val="24"/>
        </w:rPr>
        <w:t xml:space="preserve">immer mehr Staaten in </w:t>
      </w:r>
      <w:r w:rsidR="00C91A14" w:rsidRPr="004C738A">
        <w:rPr>
          <w:rFonts w:ascii="Times New Roman" w:hAnsi="Times New Roman"/>
          <w:sz w:val="24"/>
          <w:szCs w:val="24"/>
        </w:rPr>
        <w:t>unserer Nachbarschaft geraten die Institutionen des demokratischen Rechtsstaats unter Druck</w:t>
      </w:r>
      <w:r w:rsidR="00E04F47" w:rsidRPr="004C738A">
        <w:rPr>
          <w:rFonts w:ascii="Times New Roman" w:hAnsi="Times New Roman"/>
          <w:sz w:val="24"/>
          <w:szCs w:val="24"/>
        </w:rPr>
        <w:t>. F</w:t>
      </w:r>
      <w:r w:rsidR="00C91A14" w:rsidRPr="004C738A">
        <w:rPr>
          <w:rFonts w:ascii="Times New Roman" w:hAnsi="Times New Roman"/>
          <w:sz w:val="24"/>
          <w:szCs w:val="24"/>
        </w:rPr>
        <w:t xml:space="preserve">reiheitliche Verfassungsstaaten </w:t>
      </w:r>
      <w:r w:rsidR="00856A6D" w:rsidRPr="004C738A">
        <w:rPr>
          <w:rFonts w:ascii="Times New Roman" w:hAnsi="Times New Roman"/>
          <w:sz w:val="24"/>
          <w:szCs w:val="24"/>
        </w:rPr>
        <w:t xml:space="preserve">wandeln sich </w:t>
      </w:r>
      <w:r w:rsidR="00C91A14" w:rsidRPr="004C738A">
        <w:rPr>
          <w:rFonts w:ascii="Times New Roman" w:hAnsi="Times New Roman"/>
          <w:sz w:val="24"/>
          <w:szCs w:val="24"/>
        </w:rPr>
        <w:t xml:space="preserve">in mehr oder weniger autokratische Systeme. </w:t>
      </w:r>
      <w:r w:rsidR="00FE5ABC" w:rsidRPr="004C738A">
        <w:rPr>
          <w:rFonts w:ascii="Times New Roman" w:hAnsi="Times New Roman"/>
          <w:sz w:val="24"/>
          <w:szCs w:val="24"/>
        </w:rPr>
        <w:t>Die Prozesse ähneln sich</w:t>
      </w:r>
      <w:r w:rsidR="00856A6D" w:rsidRPr="004C738A">
        <w:rPr>
          <w:rFonts w:ascii="Times New Roman" w:hAnsi="Times New Roman"/>
          <w:sz w:val="24"/>
          <w:szCs w:val="24"/>
        </w:rPr>
        <w:t>, erfolgen stets nach dem gleichen Muster</w:t>
      </w:r>
      <w:r w:rsidR="00FE5ABC" w:rsidRPr="004C738A">
        <w:rPr>
          <w:rFonts w:ascii="Times New Roman" w:hAnsi="Times New Roman"/>
          <w:sz w:val="24"/>
          <w:szCs w:val="24"/>
        </w:rPr>
        <w:t xml:space="preserve">. </w:t>
      </w:r>
      <w:r w:rsidR="00856A6D" w:rsidRPr="004C738A">
        <w:rPr>
          <w:rFonts w:ascii="Times New Roman" w:hAnsi="Times New Roman"/>
          <w:sz w:val="24"/>
          <w:szCs w:val="24"/>
        </w:rPr>
        <w:t xml:space="preserve">Am Beginn steht typsicherweise die Demontage der </w:t>
      </w:r>
      <w:r w:rsidR="00C91A14" w:rsidRPr="004C738A">
        <w:rPr>
          <w:rFonts w:ascii="Times New Roman" w:hAnsi="Times New Roman"/>
          <w:sz w:val="24"/>
          <w:szCs w:val="24"/>
        </w:rPr>
        <w:t>Justiz</w:t>
      </w:r>
      <w:r w:rsidR="00856A6D" w:rsidRPr="004C738A">
        <w:rPr>
          <w:rFonts w:ascii="Times New Roman" w:hAnsi="Times New Roman"/>
          <w:sz w:val="24"/>
          <w:szCs w:val="24"/>
        </w:rPr>
        <w:t xml:space="preserve"> im Allgemeinen und der Verfassungsgerichtsbarkeit im Besonderen. S</w:t>
      </w:r>
      <w:r w:rsidR="00FE5ABC" w:rsidRPr="004C738A">
        <w:rPr>
          <w:rFonts w:ascii="Times New Roman" w:hAnsi="Times New Roman"/>
          <w:sz w:val="24"/>
          <w:szCs w:val="24"/>
        </w:rPr>
        <w:t xml:space="preserve">ie </w:t>
      </w:r>
      <w:r w:rsidR="00856A6D" w:rsidRPr="004C738A">
        <w:rPr>
          <w:rFonts w:ascii="Times New Roman" w:hAnsi="Times New Roman"/>
          <w:sz w:val="24"/>
          <w:szCs w:val="24"/>
        </w:rPr>
        <w:t xml:space="preserve">öffnet </w:t>
      </w:r>
      <w:r w:rsidR="00FE5ABC" w:rsidRPr="004C738A">
        <w:rPr>
          <w:rFonts w:ascii="Times New Roman" w:hAnsi="Times New Roman"/>
          <w:sz w:val="24"/>
          <w:szCs w:val="24"/>
        </w:rPr>
        <w:t xml:space="preserve">den Weg </w:t>
      </w:r>
      <w:r w:rsidR="002D07EA" w:rsidRPr="004C738A">
        <w:rPr>
          <w:rFonts w:ascii="Times New Roman" w:hAnsi="Times New Roman"/>
          <w:sz w:val="24"/>
          <w:szCs w:val="24"/>
        </w:rPr>
        <w:t xml:space="preserve">für </w:t>
      </w:r>
      <w:r w:rsidR="00FE5ABC" w:rsidRPr="004C738A">
        <w:rPr>
          <w:rFonts w:ascii="Times New Roman" w:hAnsi="Times New Roman"/>
          <w:sz w:val="24"/>
          <w:szCs w:val="24"/>
        </w:rPr>
        <w:t xml:space="preserve">eine Gleichschaltung </w:t>
      </w:r>
      <w:r w:rsidR="00856A6D" w:rsidRPr="004C738A">
        <w:rPr>
          <w:rFonts w:ascii="Times New Roman" w:hAnsi="Times New Roman"/>
          <w:sz w:val="24"/>
          <w:szCs w:val="24"/>
        </w:rPr>
        <w:t>der</w:t>
      </w:r>
      <w:r w:rsidR="00FE5ABC" w:rsidRPr="004C738A">
        <w:rPr>
          <w:rFonts w:ascii="Times New Roman" w:hAnsi="Times New Roman"/>
          <w:sz w:val="24"/>
          <w:szCs w:val="24"/>
        </w:rPr>
        <w:t xml:space="preserve"> Medien, </w:t>
      </w:r>
      <w:r w:rsidR="00856A6D" w:rsidRPr="004C738A">
        <w:rPr>
          <w:rFonts w:ascii="Times New Roman" w:hAnsi="Times New Roman"/>
          <w:sz w:val="24"/>
          <w:szCs w:val="24"/>
        </w:rPr>
        <w:t xml:space="preserve">der </w:t>
      </w:r>
      <w:r w:rsidR="00FE5ABC" w:rsidRPr="004C738A">
        <w:rPr>
          <w:rFonts w:ascii="Times New Roman" w:hAnsi="Times New Roman"/>
          <w:sz w:val="24"/>
          <w:szCs w:val="24"/>
        </w:rPr>
        <w:t>Wissenschaft und andere</w:t>
      </w:r>
      <w:r w:rsidR="00856A6D" w:rsidRPr="004C738A">
        <w:rPr>
          <w:rFonts w:ascii="Times New Roman" w:hAnsi="Times New Roman"/>
          <w:sz w:val="24"/>
          <w:szCs w:val="24"/>
        </w:rPr>
        <w:t>r</w:t>
      </w:r>
      <w:r w:rsidR="00FE5ABC" w:rsidRPr="004C738A">
        <w:rPr>
          <w:rFonts w:ascii="Times New Roman" w:hAnsi="Times New Roman"/>
          <w:sz w:val="24"/>
          <w:szCs w:val="24"/>
        </w:rPr>
        <w:t xml:space="preserve"> Systeme (I.), Diese </w:t>
      </w:r>
      <w:r w:rsidR="00476BB9" w:rsidRPr="004C738A">
        <w:rPr>
          <w:rFonts w:ascii="Times New Roman" w:hAnsi="Times New Roman"/>
          <w:sz w:val="24"/>
          <w:szCs w:val="24"/>
        </w:rPr>
        <w:t>Entwicklung ist nicht nur von akademischem Interesse</w:t>
      </w:r>
      <w:r w:rsidR="00F9734F" w:rsidRPr="004C738A">
        <w:rPr>
          <w:rFonts w:ascii="Times New Roman" w:hAnsi="Times New Roman"/>
          <w:sz w:val="24"/>
          <w:szCs w:val="24"/>
        </w:rPr>
        <w:t xml:space="preserve">. Die </w:t>
      </w:r>
      <w:r w:rsidR="00476BB9" w:rsidRPr="004C738A">
        <w:rPr>
          <w:rFonts w:ascii="Times New Roman" w:hAnsi="Times New Roman"/>
          <w:sz w:val="24"/>
          <w:szCs w:val="24"/>
        </w:rPr>
        <w:t>engen Verflechtungen und Interdependenzen im</w:t>
      </w:r>
      <w:r w:rsidR="00952C40" w:rsidRPr="004C738A">
        <w:rPr>
          <w:rFonts w:ascii="Times New Roman" w:hAnsi="Times New Roman"/>
          <w:sz w:val="24"/>
          <w:szCs w:val="24"/>
        </w:rPr>
        <w:t xml:space="preserve"> europäischen Rechtsraum</w:t>
      </w:r>
      <w:r w:rsidR="00952C40" w:rsidRPr="004C738A">
        <w:rPr>
          <w:rStyle w:val="Funotenzeichen"/>
          <w:rFonts w:ascii="Times New Roman" w:hAnsi="Times New Roman" w:cs="Times New Roman"/>
          <w:sz w:val="24"/>
          <w:szCs w:val="24"/>
        </w:rPr>
        <w:footnoteReference w:id="2"/>
      </w:r>
      <w:r w:rsidR="00287BE9" w:rsidRPr="004C738A">
        <w:rPr>
          <w:rFonts w:ascii="Times New Roman" w:hAnsi="Times New Roman"/>
          <w:sz w:val="24"/>
          <w:szCs w:val="24"/>
        </w:rPr>
        <w:t xml:space="preserve"> im Allgemeinen und im</w:t>
      </w:r>
      <w:r w:rsidR="00476BB9" w:rsidRPr="004C738A">
        <w:rPr>
          <w:rFonts w:ascii="Times New Roman" w:hAnsi="Times New Roman"/>
          <w:sz w:val="24"/>
          <w:szCs w:val="24"/>
        </w:rPr>
        <w:t xml:space="preserve"> </w:t>
      </w:r>
      <w:r w:rsidR="00F9734F" w:rsidRPr="004C738A">
        <w:rPr>
          <w:rFonts w:ascii="Times New Roman" w:hAnsi="Times New Roman"/>
          <w:sz w:val="24"/>
          <w:szCs w:val="24"/>
        </w:rPr>
        <w:t>Staaten-, Verfassungs-, Rechtsetzungs-</w:t>
      </w:r>
      <w:r w:rsidR="00F9734F" w:rsidRPr="001D75DC">
        <w:rPr>
          <w:rFonts w:ascii="Times New Roman" w:hAnsi="Times New Roman"/>
          <w:sz w:val="24"/>
          <w:szCs w:val="24"/>
        </w:rPr>
        <w:t>,</w:t>
      </w:r>
      <w:r w:rsidR="00F9734F" w:rsidRPr="004C738A">
        <w:rPr>
          <w:rFonts w:ascii="Times New Roman" w:hAnsi="Times New Roman"/>
          <w:sz w:val="24"/>
          <w:szCs w:val="24"/>
        </w:rPr>
        <w:t xml:space="preserve"> Verwaltungs- und Rechtsprechungsverbund</w:t>
      </w:r>
      <w:r w:rsidR="00287BE9" w:rsidRPr="004C738A">
        <w:rPr>
          <w:rFonts w:ascii="Times New Roman" w:hAnsi="Times New Roman"/>
          <w:sz w:val="24"/>
          <w:szCs w:val="24"/>
        </w:rPr>
        <w:t xml:space="preserve"> der Europäischen Union</w:t>
      </w:r>
      <w:r w:rsidR="00952C40" w:rsidRPr="004C738A">
        <w:rPr>
          <w:rStyle w:val="Funotenzeichen"/>
          <w:rFonts w:ascii="Times New Roman" w:hAnsi="Times New Roman" w:cs="Times New Roman"/>
          <w:sz w:val="24"/>
          <w:szCs w:val="24"/>
        </w:rPr>
        <w:footnoteReference w:id="3"/>
      </w:r>
      <w:r w:rsidR="00287BE9" w:rsidRPr="004C738A">
        <w:rPr>
          <w:rFonts w:ascii="Times New Roman" w:hAnsi="Times New Roman"/>
          <w:sz w:val="24"/>
          <w:szCs w:val="24"/>
        </w:rPr>
        <w:t xml:space="preserve"> im Besonderen </w:t>
      </w:r>
      <w:r w:rsidR="00F9734F" w:rsidRPr="004C738A">
        <w:rPr>
          <w:rFonts w:ascii="Times New Roman" w:hAnsi="Times New Roman"/>
          <w:sz w:val="24"/>
          <w:szCs w:val="24"/>
        </w:rPr>
        <w:t>bewi</w:t>
      </w:r>
      <w:r w:rsidR="00F9734F" w:rsidRPr="004C738A">
        <w:rPr>
          <w:rFonts w:ascii="Times New Roman" w:hAnsi="Times New Roman"/>
          <w:sz w:val="24"/>
          <w:szCs w:val="24"/>
        </w:rPr>
        <w:t>r</w:t>
      </w:r>
      <w:r w:rsidR="00F9734F" w:rsidRPr="004C738A">
        <w:rPr>
          <w:rFonts w:ascii="Times New Roman" w:hAnsi="Times New Roman"/>
          <w:sz w:val="24"/>
          <w:szCs w:val="24"/>
        </w:rPr>
        <w:t xml:space="preserve">ken, </w:t>
      </w:r>
      <w:r w:rsidR="00287BE9" w:rsidRPr="004C738A">
        <w:rPr>
          <w:rFonts w:ascii="Times New Roman" w:hAnsi="Times New Roman"/>
          <w:sz w:val="24"/>
          <w:szCs w:val="24"/>
        </w:rPr>
        <w:t xml:space="preserve">dass dies </w:t>
      </w:r>
      <w:r w:rsidR="00476BB9" w:rsidRPr="004C738A">
        <w:rPr>
          <w:rFonts w:ascii="Times New Roman" w:hAnsi="Times New Roman"/>
          <w:sz w:val="24"/>
          <w:szCs w:val="24"/>
        </w:rPr>
        <w:t>auch die Menschen in Deutschland unmittelbar</w:t>
      </w:r>
      <w:r w:rsidR="00287BE9" w:rsidRPr="004C738A">
        <w:rPr>
          <w:rFonts w:ascii="Times New Roman" w:hAnsi="Times New Roman"/>
          <w:sz w:val="24"/>
          <w:szCs w:val="24"/>
        </w:rPr>
        <w:t xml:space="preserve"> betrifft</w:t>
      </w:r>
      <w:r w:rsidR="00476BB9" w:rsidRPr="004C738A">
        <w:rPr>
          <w:rFonts w:ascii="Times New Roman" w:hAnsi="Times New Roman"/>
          <w:sz w:val="24"/>
          <w:szCs w:val="24"/>
        </w:rPr>
        <w:t xml:space="preserve"> (II.). </w:t>
      </w:r>
      <w:r w:rsidR="00287BE9" w:rsidRPr="004C738A">
        <w:rPr>
          <w:rFonts w:ascii="Times New Roman" w:hAnsi="Times New Roman"/>
          <w:sz w:val="24"/>
          <w:szCs w:val="24"/>
        </w:rPr>
        <w:t xml:space="preserve">Es </w:t>
      </w:r>
      <w:r w:rsidR="002D07EA" w:rsidRPr="004C738A">
        <w:rPr>
          <w:rFonts w:ascii="Times New Roman" w:hAnsi="Times New Roman"/>
          <w:sz w:val="24"/>
          <w:szCs w:val="24"/>
        </w:rPr>
        <w:t>ist</w:t>
      </w:r>
      <w:r w:rsidR="002B6EF2" w:rsidRPr="004C738A">
        <w:rPr>
          <w:rFonts w:ascii="Times New Roman" w:hAnsi="Times New Roman"/>
          <w:sz w:val="24"/>
          <w:szCs w:val="24"/>
        </w:rPr>
        <w:t xml:space="preserve"> </w:t>
      </w:r>
      <w:r w:rsidR="00287BE9" w:rsidRPr="004C738A">
        <w:rPr>
          <w:rFonts w:ascii="Times New Roman" w:hAnsi="Times New Roman"/>
          <w:sz w:val="24"/>
          <w:szCs w:val="24"/>
        </w:rPr>
        <w:t xml:space="preserve">daher </w:t>
      </w:r>
      <w:r w:rsidR="00476BB9" w:rsidRPr="004C738A">
        <w:rPr>
          <w:rFonts w:ascii="Times New Roman" w:hAnsi="Times New Roman"/>
          <w:sz w:val="24"/>
          <w:szCs w:val="24"/>
        </w:rPr>
        <w:t>nicht nur eine Frage politischer Opportunität, wie staatliche und europäische Stellen auf diese En</w:t>
      </w:r>
      <w:r w:rsidR="00476BB9" w:rsidRPr="004C738A">
        <w:rPr>
          <w:rFonts w:ascii="Times New Roman" w:hAnsi="Times New Roman"/>
          <w:sz w:val="24"/>
          <w:szCs w:val="24"/>
        </w:rPr>
        <w:t>t</w:t>
      </w:r>
      <w:r w:rsidR="00476BB9" w:rsidRPr="004C738A">
        <w:rPr>
          <w:rFonts w:ascii="Times New Roman" w:hAnsi="Times New Roman"/>
          <w:sz w:val="24"/>
          <w:szCs w:val="24"/>
        </w:rPr>
        <w:t>wicklungen reagieren</w:t>
      </w:r>
      <w:r w:rsidR="002B6EF2" w:rsidRPr="004C738A">
        <w:rPr>
          <w:rFonts w:ascii="Times New Roman" w:hAnsi="Times New Roman"/>
          <w:sz w:val="24"/>
          <w:szCs w:val="24"/>
        </w:rPr>
        <w:t>; u</w:t>
      </w:r>
      <w:r w:rsidR="00476BB9" w:rsidRPr="004C738A">
        <w:rPr>
          <w:rFonts w:ascii="Times New Roman" w:hAnsi="Times New Roman"/>
          <w:sz w:val="24"/>
          <w:szCs w:val="24"/>
        </w:rPr>
        <w:t xml:space="preserve">nter bestimmten Voraussetzungen können </w:t>
      </w:r>
      <w:r w:rsidR="002D07EA" w:rsidRPr="004C738A">
        <w:rPr>
          <w:rFonts w:ascii="Times New Roman" w:hAnsi="Times New Roman"/>
          <w:sz w:val="24"/>
          <w:szCs w:val="24"/>
        </w:rPr>
        <w:t>s</w:t>
      </w:r>
      <w:r w:rsidR="002B6EF2" w:rsidRPr="004C738A">
        <w:rPr>
          <w:rFonts w:ascii="Times New Roman" w:hAnsi="Times New Roman"/>
          <w:sz w:val="24"/>
          <w:szCs w:val="24"/>
        </w:rPr>
        <w:t>ie</w:t>
      </w:r>
      <w:r w:rsidR="002D07EA" w:rsidRPr="004C738A">
        <w:rPr>
          <w:rFonts w:ascii="Times New Roman" w:hAnsi="Times New Roman"/>
          <w:sz w:val="24"/>
          <w:szCs w:val="24"/>
        </w:rPr>
        <w:t xml:space="preserve"> auch</w:t>
      </w:r>
      <w:r w:rsidR="002B6EF2" w:rsidRPr="004C738A">
        <w:rPr>
          <w:rFonts w:ascii="Times New Roman" w:hAnsi="Times New Roman"/>
          <w:sz w:val="24"/>
          <w:szCs w:val="24"/>
        </w:rPr>
        <w:t xml:space="preserve"> </w:t>
      </w:r>
      <w:r w:rsidR="00287BE9" w:rsidRPr="004C738A">
        <w:rPr>
          <w:rFonts w:ascii="Times New Roman" w:hAnsi="Times New Roman"/>
          <w:sz w:val="24"/>
          <w:szCs w:val="24"/>
        </w:rPr>
        <w:t>gezwungen sein</w:t>
      </w:r>
      <w:r w:rsidR="002B6EF2" w:rsidRPr="004C738A">
        <w:rPr>
          <w:rFonts w:ascii="Times New Roman" w:hAnsi="Times New Roman"/>
          <w:sz w:val="24"/>
          <w:szCs w:val="24"/>
        </w:rPr>
        <w:t>, derartigen Entwicklungen Rechnung zu tragen</w:t>
      </w:r>
      <w:r w:rsidR="002D07EA" w:rsidRPr="004C738A">
        <w:rPr>
          <w:rFonts w:ascii="Times New Roman" w:hAnsi="Times New Roman"/>
          <w:sz w:val="24"/>
          <w:szCs w:val="24"/>
        </w:rPr>
        <w:t>. Das gilt insbesondere für die Gerichte</w:t>
      </w:r>
      <w:r w:rsidR="00476BB9" w:rsidRPr="004C738A">
        <w:rPr>
          <w:rFonts w:ascii="Times New Roman" w:hAnsi="Times New Roman"/>
          <w:sz w:val="24"/>
          <w:szCs w:val="24"/>
        </w:rPr>
        <w:t xml:space="preserve"> (III.). </w:t>
      </w:r>
      <w:r w:rsidR="00287BE9" w:rsidRPr="004C738A">
        <w:rPr>
          <w:rFonts w:ascii="Times New Roman" w:hAnsi="Times New Roman"/>
          <w:sz w:val="24"/>
          <w:szCs w:val="24"/>
        </w:rPr>
        <w:t>Für d</w:t>
      </w:r>
      <w:r w:rsidR="00476BB9" w:rsidRPr="004C738A">
        <w:rPr>
          <w:rFonts w:ascii="Times New Roman" w:hAnsi="Times New Roman"/>
          <w:sz w:val="24"/>
          <w:szCs w:val="24"/>
        </w:rPr>
        <w:t xml:space="preserve">ie </w:t>
      </w:r>
      <w:r w:rsidR="00287BE9" w:rsidRPr="004C738A">
        <w:rPr>
          <w:rFonts w:ascii="Times New Roman" w:hAnsi="Times New Roman"/>
          <w:sz w:val="24"/>
          <w:szCs w:val="24"/>
        </w:rPr>
        <w:t xml:space="preserve">etablierten Demokratien des Westens ist das </w:t>
      </w:r>
      <w:r w:rsidR="00476BB9" w:rsidRPr="004C738A">
        <w:rPr>
          <w:rFonts w:ascii="Times New Roman" w:hAnsi="Times New Roman"/>
          <w:sz w:val="24"/>
          <w:szCs w:val="24"/>
        </w:rPr>
        <w:t>Wiedererstarken autoritärer</w:t>
      </w:r>
      <w:r w:rsidR="006D0400" w:rsidRPr="004C738A">
        <w:rPr>
          <w:rFonts w:ascii="Times New Roman" w:hAnsi="Times New Roman"/>
          <w:sz w:val="24"/>
          <w:szCs w:val="24"/>
        </w:rPr>
        <w:t xml:space="preserve"> Regierung</w:t>
      </w:r>
      <w:r w:rsidR="006D0400" w:rsidRPr="004C738A">
        <w:rPr>
          <w:rFonts w:ascii="Times New Roman" w:hAnsi="Times New Roman"/>
          <w:sz w:val="24"/>
          <w:szCs w:val="24"/>
        </w:rPr>
        <w:t>s</w:t>
      </w:r>
      <w:r w:rsidR="006D0400" w:rsidRPr="004C738A">
        <w:rPr>
          <w:rFonts w:ascii="Times New Roman" w:hAnsi="Times New Roman"/>
          <w:sz w:val="24"/>
          <w:szCs w:val="24"/>
        </w:rPr>
        <w:t>formen schließlich</w:t>
      </w:r>
      <w:r w:rsidR="00287BE9" w:rsidRPr="004C738A">
        <w:rPr>
          <w:rFonts w:ascii="Times New Roman" w:hAnsi="Times New Roman"/>
          <w:sz w:val="24"/>
          <w:szCs w:val="24"/>
        </w:rPr>
        <w:t xml:space="preserve"> eine Erinnerung</w:t>
      </w:r>
      <w:r w:rsidR="006D0400" w:rsidRPr="004C738A">
        <w:rPr>
          <w:rFonts w:ascii="Times New Roman" w:hAnsi="Times New Roman"/>
          <w:sz w:val="24"/>
          <w:szCs w:val="24"/>
        </w:rPr>
        <w:t xml:space="preserve"> daran, dass der demokratische Rechts- und Verfassung</w:t>
      </w:r>
      <w:r w:rsidR="006D0400" w:rsidRPr="004C738A">
        <w:rPr>
          <w:rFonts w:ascii="Times New Roman" w:hAnsi="Times New Roman"/>
          <w:sz w:val="24"/>
          <w:szCs w:val="24"/>
        </w:rPr>
        <w:t>s</w:t>
      </w:r>
      <w:r w:rsidR="006D0400" w:rsidRPr="004C738A">
        <w:rPr>
          <w:rFonts w:ascii="Times New Roman" w:hAnsi="Times New Roman"/>
          <w:sz w:val="24"/>
          <w:szCs w:val="24"/>
        </w:rPr>
        <w:t>staat eine zivilisatorische Errungenschaft darstellt, die rasch verspielt werden kann (IV.).</w:t>
      </w:r>
    </w:p>
    <w:p w:rsidR="006D0400" w:rsidRPr="004C738A" w:rsidRDefault="006D0400" w:rsidP="006D0400">
      <w:pPr>
        <w:pStyle w:val="berschrift1"/>
        <w:rPr>
          <w:rFonts w:ascii="Times New Roman" w:hAnsi="Times New Roman" w:cs="Times New Roman"/>
          <w:sz w:val="24"/>
          <w:szCs w:val="24"/>
        </w:rPr>
      </w:pPr>
      <w:bookmarkStart w:id="1" w:name="_Toc498362296"/>
      <w:r w:rsidRPr="004C738A">
        <w:rPr>
          <w:rFonts w:ascii="Times New Roman" w:hAnsi="Times New Roman" w:cs="Times New Roman"/>
          <w:sz w:val="24"/>
          <w:szCs w:val="24"/>
        </w:rPr>
        <w:t>I. Die Demontage von Justiz und Verfassungsgerichtsbarkeit im europäischen Recht</w:t>
      </w:r>
      <w:r w:rsidRPr="004C738A">
        <w:rPr>
          <w:rFonts w:ascii="Times New Roman" w:hAnsi="Times New Roman" w:cs="Times New Roman"/>
          <w:sz w:val="24"/>
          <w:szCs w:val="24"/>
        </w:rPr>
        <w:t>s</w:t>
      </w:r>
      <w:r w:rsidRPr="004C738A">
        <w:rPr>
          <w:rFonts w:ascii="Times New Roman" w:hAnsi="Times New Roman" w:cs="Times New Roman"/>
          <w:sz w:val="24"/>
          <w:szCs w:val="24"/>
        </w:rPr>
        <w:t>raum</w:t>
      </w:r>
      <w:bookmarkEnd w:id="1"/>
    </w:p>
    <w:p w:rsidR="006D0400" w:rsidRPr="004C738A" w:rsidRDefault="006D0400" w:rsidP="006D0400">
      <w:pPr>
        <w:rPr>
          <w:rFonts w:ascii="Times New Roman" w:hAnsi="Times New Roman"/>
          <w:sz w:val="24"/>
          <w:szCs w:val="24"/>
        </w:rPr>
      </w:pPr>
      <w:r w:rsidRPr="004C738A">
        <w:rPr>
          <w:rFonts w:ascii="Times New Roman" w:hAnsi="Times New Roman"/>
          <w:sz w:val="24"/>
          <w:szCs w:val="24"/>
        </w:rPr>
        <w:t>Im demokratischen Rechts- und Verfassungsstaat ist die dritte Gewalt alles andere als „en quelque façon nulle“</w:t>
      </w:r>
      <w:r w:rsidR="007E593B" w:rsidRPr="004C738A">
        <w:rPr>
          <w:rStyle w:val="Funotenzeichen"/>
          <w:rFonts w:ascii="Times New Roman" w:hAnsi="Times New Roman" w:cs="Times New Roman"/>
          <w:sz w:val="24"/>
          <w:szCs w:val="24"/>
        </w:rPr>
        <w:footnoteReference w:id="4"/>
      </w:r>
      <w:r w:rsidRPr="004C738A">
        <w:rPr>
          <w:rFonts w:ascii="Times New Roman" w:hAnsi="Times New Roman"/>
          <w:sz w:val="24"/>
          <w:szCs w:val="24"/>
        </w:rPr>
        <w:t xml:space="preserve">. </w:t>
      </w:r>
      <w:r w:rsidR="003855B3" w:rsidRPr="004C738A">
        <w:rPr>
          <w:rFonts w:ascii="Times New Roman" w:hAnsi="Times New Roman"/>
          <w:sz w:val="24"/>
          <w:szCs w:val="24"/>
        </w:rPr>
        <w:t>Das gilt vor allem dort, wo Verfassungen die Einrichtung eines Verfa</w:t>
      </w:r>
      <w:r w:rsidR="003855B3" w:rsidRPr="004C738A">
        <w:rPr>
          <w:rFonts w:ascii="Times New Roman" w:hAnsi="Times New Roman"/>
          <w:sz w:val="24"/>
          <w:szCs w:val="24"/>
        </w:rPr>
        <w:t>s</w:t>
      </w:r>
      <w:r w:rsidR="003855B3" w:rsidRPr="004C738A">
        <w:rPr>
          <w:rFonts w:ascii="Times New Roman" w:hAnsi="Times New Roman"/>
          <w:sz w:val="24"/>
          <w:szCs w:val="24"/>
        </w:rPr>
        <w:t>sungsgerichts vorsehen, das über Normverwerfungskompetenzen verfügt und insoweit auch den Gesetzgeber korrigieren kann. Ein solches Gericht b</w:t>
      </w:r>
      <w:r w:rsidR="009E75DE" w:rsidRPr="004C738A">
        <w:rPr>
          <w:rFonts w:ascii="Times New Roman" w:hAnsi="Times New Roman"/>
          <w:sz w:val="24"/>
          <w:szCs w:val="24"/>
        </w:rPr>
        <w:t>ildet – nolens volens – eine Art „strukturelle Opposition“ auch gegen einen demokratisch gebildeten Mehrheitswillen,</w:t>
      </w:r>
      <w:r w:rsidR="009E75DE" w:rsidRPr="004C738A">
        <w:rPr>
          <w:rFonts w:ascii="Times New Roman" w:hAnsi="Times New Roman"/>
          <w:sz w:val="24"/>
          <w:szCs w:val="24"/>
          <w:vertAlign w:val="superscript"/>
        </w:rPr>
        <w:footnoteReference w:id="5"/>
      </w:r>
      <w:r w:rsidR="003855B3" w:rsidRPr="004C738A">
        <w:rPr>
          <w:rFonts w:ascii="Times New Roman" w:hAnsi="Times New Roman"/>
          <w:sz w:val="24"/>
          <w:szCs w:val="24"/>
        </w:rPr>
        <w:t xml:space="preserve"> da es die Verfassung und ihre </w:t>
      </w:r>
      <w:r w:rsidR="009E75DE" w:rsidRPr="004C738A">
        <w:rPr>
          <w:rFonts w:ascii="Times New Roman" w:hAnsi="Times New Roman"/>
          <w:sz w:val="24"/>
          <w:szCs w:val="24"/>
        </w:rPr>
        <w:t xml:space="preserve">Wertentscheidungen, insbesondere ihre </w:t>
      </w:r>
      <w:r w:rsidR="003855B3" w:rsidRPr="004C738A">
        <w:rPr>
          <w:rFonts w:ascii="Times New Roman" w:hAnsi="Times New Roman"/>
          <w:sz w:val="24"/>
          <w:szCs w:val="24"/>
        </w:rPr>
        <w:t>Grundrechte auch gegen d</w:t>
      </w:r>
      <w:r w:rsidR="009E75DE" w:rsidRPr="004C738A">
        <w:rPr>
          <w:rFonts w:ascii="Times New Roman" w:hAnsi="Times New Roman"/>
          <w:sz w:val="24"/>
          <w:szCs w:val="24"/>
        </w:rPr>
        <w:t>i</w:t>
      </w:r>
      <w:r w:rsidR="009E75DE" w:rsidRPr="004C738A">
        <w:rPr>
          <w:rFonts w:ascii="Times New Roman" w:hAnsi="Times New Roman"/>
          <w:sz w:val="24"/>
          <w:szCs w:val="24"/>
        </w:rPr>
        <w:t>e</w:t>
      </w:r>
      <w:r w:rsidR="009E75DE" w:rsidRPr="004C738A">
        <w:rPr>
          <w:rFonts w:ascii="Times New Roman" w:hAnsi="Times New Roman"/>
          <w:sz w:val="24"/>
          <w:szCs w:val="24"/>
        </w:rPr>
        <w:t>se</w:t>
      </w:r>
      <w:r w:rsidR="003855B3" w:rsidRPr="004C738A">
        <w:rPr>
          <w:rFonts w:ascii="Times New Roman" w:hAnsi="Times New Roman"/>
          <w:sz w:val="24"/>
          <w:szCs w:val="24"/>
        </w:rPr>
        <w:t>n durchsetzen muss</w:t>
      </w:r>
      <w:r w:rsidR="009E75DE" w:rsidRPr="004C738A">
        <w:rPr>
          <w:rFonts w:ascii="Times New Roman" w:hAnsi="Times New Roman"/>
          <w:sz w:val="24"/>
          <w:szCs w:val="24"/>
        </w:rPr>
        <w:t>. Damit aber w</w:t>
      </w:r>
      <w:r w:rsidR="00F9734F" w:rsidRPr="004C738A">
        <w:rPr>
          <w:rFonts w:ascii="Times New Roman" w:hAnsi="Times New Roman"/>
          <w:sz w:val="24"/>
          <w:szCs w:val="24"/>
        </w:rPr>
        <w:t xml:space="preserve">erden Verfassungsgerichte und Justiz </w:t>
      </w:r>
      <w:r w:rsidR="009E75DE" w:rsidRPr="004C738A">
        <w:rPr>
          <w:rFonts w:ascii="Times New Roman" w:hAnsi="Times New Roman"/>
          <w:sz w:val="24"/>
          <w:szCs w:val="24"/>
        </w:rPr>
        <w:t>unweigerlich zur Zielscheibe der Machthaber</w:t>
      </w:r>
      <w:r w:rsidR="00303413" w:rsidRPr="004C738A">
        <w:rPr>
          <w:rFonts w:ascii="Times New Roman" w:hAnsi="Times New Roman"/>
          <w:sz w:val="24"/>
          <w:szCs w:val="24"/>
        </w:rPr>
        <w:t xml:space="preserve">. </w:t>
      </w:r>
      <w:r w:rsidR="00F9734F" w:rsidRPr="004C738A">
        <w:rPr>
          <w:rFonts w:ascii="Times New Roman" w:hAnsi="Times New Roman"/>
          <w:sz w:val="24"/>
          <w:szCs w:val="24"/>
        </w:rPr>
        <w:t>D</w:t>
      </w:r>
      <w:r w:rsidR="00FF03F7" w:rsidRPr="004C738A">
        <w:rPr>
          <w:rFonts w:ascii="Times New Roman" w:hAnsi="Times New Roman"/>
          <w:sz w:val="24"/>
          <w:szCs w:val="24"/>
        </w:rPr>
        <w:t xml:space="preserve">ie Entwicklungen in </w:t>
      </w:r>
      <w:r w:rsidR="00303413" w:rsidRPr="004C738A">
        <w:rPr>
          <w:rFonts w:ascii="Times New Roman" w:hAnsi="Times New Roman"/>
          <w:sz w:val="24"/>
          <w:szCs w:val="24"/>
        </w:rPr>
        <w:t>Ungarn (</w:t>
      </w:r>
      <w:r w:rsidR="00FF03F7" w:rsidRPr="004C738A">
        <w:rPr>
          <w:rFonts w:ascii="Times New Roman" w:hAnsi="Times New Roman"/>
          <w:sz w:val="24"/>
          <w:szCs w:val="24"/>
        </w:rPr>
        <w:t>1</w:t>
      </w:r>
      <w:r w:rsidR="00303413" w:rsidRPr="004C738A">
        <w:rPr>
          <w:rFonts w:ascii="Times New Roman" w:hAnsi="Times New Roman"/>
          <w:sz w:val="24"/>
          <w:szCs w:val="24"/>
        </w:rPr>
        <w:t>.), Polen (</w:t>
      </w:r>
      <w:r w:rsidR="00FF03F7" w:rsidRPr="004C738A">
        <w:rPr>
          <w:rFonts w:ascii="Times New Roman" w:hAnsi="Times New Roman"/>
          <w:sz w:val="24"/>
          <w:szCs w:val="24"/>
        </w:rPr>
        <w:t>2</w:t>
      </w:r>
      <w:r w:rsidR="00303413" w:rsidRPr="004C738A">
        <w:rPr>
          <w:rFonts w:ascii="Times New Roman" w:hAnsi="Times New Roman"/>
          <w:sz w:val="24"/>
          <w:szCs w:val="24"/>
        </w:rPr>
        <w:t>.), Ru</w:t>
      </w:r>
      <w:r w:rsidR="00573248" w:rsidRPr="004C738A">
        <w:rPr>
          <w:rFonts w:ascii="Times New Roman" w:hAnsi="Times New Roman"/>
          <w:sz w:val="24"/>
          <w:szCs w:val="24"/>
        </w:rPr>
        <w:t>ss</w:t>
      </w:r>
      <w:r w:rsidR="00303413" w:rsidRPr="004C738A">
        <w:rPr>
          <w:rFonts w:ascii="Times New Roman" w:hAnsi="Times New Roman"/>
          <w:sz w:val="24"/>
          <w:szCs w:val="24"/>
        </w:rPr>
        <w:t>land</w:t>
      </w:r>
      <w:r w:rsidR="00573248" w:rsidRPr="004C738A">
        <w:rPr>
          <w:rFonts w:ascii="Times New Roman" w:hAnsi="Times New Roman"/>
          <w:sz w:val="24"/>
          <w:szCs w:val="24"/>
        </w:rPr>
        <w:t xml:space="preserve"> (</w:t>
      </w:r>
      <w:r w:rsidR="00FF03F7" w:rsidRPr="004C738A">
        <w:rPr>
          <w:rFonts w:ascii="Times New Roman" w:hAnsi="Times New Roman"/>
          <w:sz w:val="24"/>
          <w:szCs w:val="24"/>
        </w:rPr>
        <w:t>3</w:t>
      </w:r>
      <w:r w:rsidR="00573248" w:rsidRPr="004C738A">
        <w:rPr>
          <w:rFonts w:ascii="Times New Roman" w:hAnsi="Times New Roman"/>
          <w:sz w:val="24"/>
          <w:szCs w:val="24"/>
        </w:rPr>
        <w:t xml:space="preserve">.) und </w:t>
      </w:r>
      <w:r w:rsidR="00573248" w:rsidRPr="004C738A">
        <w:rPr>
          <w:rFonts w:ascii="Times New Roman" w:hAnsi="Times New Roman"/>
          <w:sz w:val="24"/>
          <w:szCs w:val="24"/>
        </w:rPr>
        <w:lastRenderedPageBreak/>
        <w:t>de</w:t>
      </w:r>
      <w:r w:rsidR="00FF03F7" w:rsidRPr="004C738A">
        <w:rPr>
          <w:rFonts w:ascii="Times New Roman" w:hAnsi="Times New Roman"/>
          <w:sz w:val="24"/>
          <w:szCs w:val="24"/>
        </w:rPr>
        <w:t>r</w:t>
      </w:r>
      <w:r w:rsidR="00573248" w:rsidRPr="004C738A">
        <w:rPr>
          <w:rFonts w:ascii="Times New Roman" w:hAnsi="Times New Roman"/>
          <w:sz w:val="24"/>
          <w:szCs w:val="24"/>
        </w:rPr>
        <w:t xml:space="preserve"> Türkei</w:t>
      </w:r>
      <w:r w:rsidR="00303413" w:rsidRPr="004C738A">
        <w:rPr>
          <w:rFonts w:ascii="Times New Roman" w:hAnsi="Times New Roman"/>
          <w:sz w:val="24"/>
          <w:szCs w:val="24"/>
        </w:rPr>
        <w:t xml:space="preserve"> (</w:t>
      </w:r>
      <w:r w:rsidR="00FF03F7" w:rsidRPr="004C738A">
        <w:rPr>
          <w:rFonts w:ascii="Times New Roman" w:hAnsi="Times New Roman"/>
          <w:sz w:val="24"/>
          <w:szCs w:val="24"/>
        </w:rPr>
        <w:t>4</w:t>
      </w:r>
      <w:r w:rsidR="00303413" w:rsidRPr="004C738A">
        <w:rPr>
          <w:rFonts w:ascii="Times New Roman" w:hAnsi="Times New Roman"/>
          <w:sz w:val="24"/>
          <w:szCs w:val="24"/>
        </w:rPr>
        <w:t xml:space="preserve">.) </w:t>
      </w:r>
      <w:r w:rsidR="00F9734F" w:rsidRPr="004C738A">
        <w:rPr>
          <w:rFonts w:ascii="Times New Roman" w:hAnsi="Times New Roman"/>
          <w:sz w:val="24"/>
          <w:szCs w:val="24"/>
        </w:rPr>
        <w:t>bieten insoweit reichlich Anschauungsmaterial für</w:t>
      </w:r>
      <w:r w:rsidR="00287BE9" w:rsidRPr="004C738A">
        <w:rPr>
          <w:rFonts w:ascii="Times New Roman" w:hAnsi="Times New Roman"/>
          <w:sz w:val="24"/>
          <w:szCs w:val="24"/>
        </w:rPr>
        <w:t xml:space="preserve"> eine Demontage der </w:t>
      </w:r>
      <w:r w:rsidR="00F9734F" w:rsidRPr="004C738A">
        <w:rPr>
          <w:rFonts w:ascii="Times New Roman" w:hAnsi="Times New Roman"/>
          <w:sz w:val="24"/>
          <w:szCs w:val="24"/>
        </w:rPr>
        <w:t>Ve</w:t>
      </w:r>
      <w:r w:rsidR="00F9734F" w:rsidRPr="004C738A">
        <w:rPr>
          <w:rFonts w:ascii="Times New Roman" w:hAnsi="Times New Roman"/>
          <w:sz w:val="24"/>
          <w:szCs w:val="24"/>
        </w:rPr>
        <w:t>r</w:t>
      </w:r>
      <w:r w:rsidR="00F9734F" w:rsidRPr="004C738A">
        <w:rPr>
          <w:rFonts w:ascii="Times New Roman" w:hAnsi="Times New Roman"/>
          <w:sz w:val="24"/>
          <w:szCs w:val="24"/>
        </w:rPr>
        <w:t xml:space="preserve">fassungsgerichte </w:t>
      </w:r>
      <w:r w:rsidR="00287BE9" w:rsidRPr="004C738A">
        <w:rPr>
          <w:rFonts w:ascii="Times New Roman" w:hAnsi="Times New Roman"/>
          <w:sz w:val="24"/>
          <w:szCs w:val="24"/>
        </w:rPr>
        <w:t xml:space="preserve">und eine Gleichschaltung der </w:t>
      </w:r>
      <w:r w:rsidR="00F9734F" w:rsidRPr="004C738A">
        <w:rPr>
          <w:rFonts w:ascii="Times New Roman" w:hAnsi="Times New Roman"/>
          <w:sz w:val="24"/>
          <w:szCs w:val="24"/>
        </w:rPr>
        <w:t>Justiz</w:t>
      </w:r>
      <w:r w:rsidR="00287BE9" w:rsidRPr="004C738A">
        <w:rPr>
          <w:rFonts w:ascii="Times New Roman" w:hAnsi="Times New Roman"/>
          <w:sz w:val="24"/>
          <w:szCs w:val="24"/>
        </w:rPr>
        <w:t>, für die sich die Machthaber typsiche</w:t>
      </w:r>
      <w:r w:rsidR="00287BE9" w:rsidRPr="004C738A">
        <w:rPr>
          <w:rFonts w:ascii="Times New Roman" w:hAnsi="Times New Roman"/>
          <w:sz w:val="24"/>
          <w:szCs w:val="24"/>
        </w:rPr>
        <w:t>r</w:t>
      </w:r>
      <w:r w:rsidR="00287BE9" w:rsidRPr="004C738A">
        <w:rPr>
          <w:rFonts w:ascii="Times New Roman" w:hAnsi="Times New Roman"/>
          <w:sz w:val="24"/>
          <w:szCs w:val="24"/>
        </w:rPr>
        <w:t>weise sogar auf den Mehrheitswillen berufen (5.).</w:t>
      </w:r>
      <w:r w:rsidR="00F9734F" w:rsidRPr="004C738A">
        <w:rPr>
          <w:rFonts w:ascii="Times New Roman" w:hAnsi="Times New Roman"/>
          <w:sz w:val="24"/>
          <w:szCs w:val="24"/>
        </w:rPr>
        <w:t xml:space="preserve"> </w:t>
      </w:r>
    </w:p>
    <w:p w:rsidR="006D0400" w:rsidRPr="004C738A" w:rsidRDefault="006D0400" w:rsidP="006D0400">
      <w:pPr>
        <w:rPr>
          <w:rFonts w:ascii="Times New Roman" w:hAnsi="Times New Roman"/>
          <w:sz w:val="24"/>
          <w:szCs w:val="24"/>
        </w:rPr>
      </w:pPr>
    </w:p>
    <w:p w:rsidR="006D0400" w:rsidRPr="004C738A" w:rsidRDefault="00287BE9" w:rsidP="002B5DC7">
      <w:pPr>
        <w:pStyle w:val="berschrift2"/>
        <w:rPr>
          <w:rFonts w:ascii="Times New Roman" w:hAnsi="Times New Roman" w:cs="Times New Roman"/>
          <w:sz w:val="24"/>
          <w:szCs w:val="24"/>
        </w:rPr>
      </w:pPr>
      <w:bookmarkStart w:id="2" w:name="_Toc498362297"/>
      <w:r w:rsidRPr="004C738A">
        <w:rPr>
          <w:rFonts w:ascii="Times New Roman" w:hAnsi="Times New Roman" w:cs="Times New Roman"/>
          <w:sz w:val="24"/>
          <w:szCs w:val="24"/>
        </w:rPr>
        <w:t>1</w:t>
      </w:r>
      <w:r w:rsidR="00C66DA0" w:rsidRPr="004C738A">
        <w:rPr>
          <w:rFonts w:ascii="Times New Roman" w:hAnsi="Times New Roman" w:cs="Times New Roman"/>
          <w:sz w:val="24"/>
          <w:szCs w:val="24"/>
        </w:rPr>
        <w:t xml:space="preserve">. </w:t>
      </w:r>
      <w:r w:rsidR="006D0400" w:rsidRPr="004C738A">
        <w:rPr>
          <w:rFonts w:ascii="Times New Roman" w:hAnsi="Times New Roman" w:cs="Times New Roman"/>
          <w:sz w:val="24"/>
          <w:szCs w:val="24"/>
        </w:rPr>
        <w:t>Ungarn</w:t>
      </w:r>
      <w:bookmarkEnd w:id="2"/>
    </w:p>
    <w:p w:rsidR="006D0400" w:rsidRPr="004C738A" w:rsidRDefault="006D0400" w:rsidP="006D0400">
      <w:pPr>
        <w:rPr>
          <w:rFonts w:ascii="Times New Roman" w:hAnsi="Times New Roman"/>
          <w:sz w:val="24"/>
          <w:szCs w:val="24"/>
        </w:rPr>
      </w:pPr>
      <w:r w:rsidRPr="004C738A">
        <w:rPr>
          <w:rFonts w:ascii="Times New Roman" w:hAnsi="Times New Roman"/>
          <w:sz w:val="24"/>
          <w:szCs w:val="24"/>
        </w:rPr>
        <w:t xml:space="preserve">In Ungarn </w:t>
      </w:r>
      <w:r w:rsidR="00C66DA0" w:rsidRPr="004C738A">
        <w:rPr>
          <w:rFonts w:ascii="Times New Roman" w:hAnsi="Times New Roman"/>
          <w:sz w:val="24"/>
          <w:szCs w:val="24"/>
        </w:rPr>
        <w:t xml:space="preserve">begann die problematische Entwicklung spätestens mit der </w:t>
      </w:r>
      <w:r w:rsidRPr="004C738A">
        <w:rPr>
          <w:rFonts w:ascii="Times New Roman" w:hAnsi="Times New Roman"/>
          <w:sz w:val="24"/>
          <w:szCs w:val="24"/>
        </w:rPr>
        <w:t xml:space="preserve">in einem zweifelhaften </w:t>
      </w:r>
      <w:r w:rsidR="00C66DA0" w:rsidRPr="004C738A">
        <w:rPr>
          <w:rFonts w:ascii="Times New Roman" w:hAnsi="Times New Roman"/>
          <w:sz w:val="24"/>
          <w:szCs w:val="24"/>
        </w:rPr>
        <w:t xml:space="preserve">und wenig transparenten </w:t>
      </w:r>
      <w:r w:rsidRPr="004C738A">
        <w:rPr>
          <w:rFonts w:ascii="Times New Roman" w:hAnsi="Times New Roman"/>
          <w:sz w:val="24"/>
          <w:szCs w:val="24"/>
        </w:rPr>
        <w:t>Verfahren durchgepeitschte</w:t>
      </w:r>
      <w:r w:rsidR="002D07EA" w:rsidRPr="004C738A">
        <w:rPr>
          <w:rFonts w:ascii="Times New Roman" w:hAnsi="Times New Roman"/>
          <w:sz w:val="24"/>
          <w:szCs w:val="24"/>
        </w:rPr>
        <w:t>n</w:t>
      </w:r>
      <w:r w:rsidRPr="004C738A">
        <w:rPr>
          <w:rFonts w:ascii="Times New Roman" w:hAnsi="Times New Roman"/>
          <w:sz w:val="24"/>
          <w:szCs w:val="24"/>
        </w:rPr>
        <w:t xml:space="preserve"> Verfassung vo</w:t>
      </w:r>
      <w:r w:rsidR="00C66DA0" w:rsidRPr="004C738A">
        <w:rPr>
          <w:rFonts w:ascii="Times New Roman" w:hAnsi="Times New Roman"/>
          <w:sz w:val="24"/>
          <w:szCs w:val="24"/>
        </w:rPr>
        <w:t>m 25. April</w:t>
      </w:r>
      <w:r w:rsidRPr="004C738A">
        <w:rPr>
          <w:rFonts w:ascii="Times New Roman" w:hAnsi="Times New Roman"/>
          <w:sz w:val="24"/>
          <w:szCs w:val="24"/>
        </w:rPr>
        <w:t xml:space="preserve"> 2011</w:t>
      </w:r>
      <w:r w:rsidR="00C66DA0" w:rsidRPr="004C738A">
        <w:rPr>
          <w:rFonts w:ascii="Times New Roman" w:hAnsi="Times New Roman"/>
          <w:sz w:val="24"/>
          <w:szCs w:val="24"/>
        </w:rPr>
        <w:t>, U</w:t>
      </w:r>
      <w:r w:rsidR="00C66DA0" w:rsidRPr="004C738A">
        <w:rPr>
          <w:rFonts w:ascii="Times New Roman" w:hAnsi="Times New Roman"/>
          <w:sz w:val="24"/>
          <w:szCs w:val="24"/>
        </w:rPr>
        <w:t>n</w:t>
      </w:r>
      <w:r w:rsidR="00C66DA0" w:rsidRPr="004C738A">
        <w:rPr>
          <w:rFonts w:ascii="Times New Roman" w:hAnsi="Times New Roman"/>
          <w:sz w:val="24"/>
          <w:szCs w:val="24"/>
        </w:rPr>
        <w:t>garns Grundgesetz,</w:t>
      </w:r>
      <w:r w:rsidR="00392254" w:rsidRPr="004C738A">
        <w:rPr>
          <w:rFonts w:ascii="Times New Roman" w:hAnsi="Times New Roman"/>
          <w:sz w:val="24"/>
          <w:szCs w:val="24"/>
        </w:rPr>
        <w:t xml:space="preserve"> mit dem </w:t>
      </w:r>
      <w:r w:rsidRPr="004C738A">
        <w:rPr>
          <w:rFonts w:ascii="Times New Roman" w:hAnsi="Times New Roman"/>
          <w:sz w:val="24"/>
          <w:szCs w:val="24"/>
        </w:rPr>
        <w:t>erheblich in Organisation und Funktionsweise des Verfassung</w:t>
      </w:r>
      <w:r w:rsidRPr="004C738A">
        <w:rPr>
          <w:rFonts w:ascii="Times New Roman" w:hAnsi="Times New Roman"/>
          <w:sz w:val="24"/>
          <w:szCs w:val="24"/>
        </w:rPr>
        <w:t>s</w:t>
      </w:r>
      <w:r w:rsidRPr="004C738A">
        <w:rPr>
          <w:rFonts w:ascii="Times New Roman" w:hAnsi="Times New Roman"/>
          <w:sz w:val="24"/>
          <w:szCs w:val="24"/>
        </w:rPr>
        <w:t>gerichts eingegriffen</w:t>
      </w:r>
      <w:r w:rsidR="00392254" w:rsidRPr="004C738A">
        <w:rPr>
          <w:rFonts w:ascii="Times New Roman" w:hAnsi="Times New Roman"/>
          <w:sz w:val="24"/>
          <w:szCs w:val="24"/>
        </w:rPr>
        <w:t xml:space="preserve"> wurde.</w:t>
      </w:r>
      <w:r w:rsidR="002D07EA" w:rsidRPr="004C738A">
        <w:rPr>
          <w:rFonts w:ascii="Times New Roman" w:hAnsi="Times New Roman"/>
          <w:sz w:val="24"/>
          <w:szCs w:val="24"/>
        </w:rPr>
        <w:t xml:space="preserve"> </w:t>
      </w:r>
      <w:r w:rsidRPr="004C738A">
        <w:rPr>
          <w:rFonts w:ascii="Times New Roman" w:hAnsi="Times New Roman"/>
          <w:sz w:val="24"/>
          <w:szCs w:val="24"/>
        </w:rPr>
        <w:t>So wurden die schon früher gewissermaßen als politische Ve</w:t>
      </w:r>
      <w:r w:rsidRPr="004C738A">
        <w:rPr>
          <w:rFonts w:ascii="Times New Roman" w:hAnsi="Times New Roman"/>
          <w:sz w:val="24"/>
          <w:szCs w:val="24"/>
        </w:rPr>
        <w:t>r</w:t>
      </w:r>
      <w:r w:rsidRPr="004C738A">
        <w:rPr>
          <w:rFonts w:ascii="Times New Roman" w:hAnsi="Times New Roman"/>
          <w:sz w:val="24"/>
          <w:szCs w:val="24"/>
        </w:rPr>
        <w:t>geltungsmaßnahme für eine unliebsame Entscheidung vorgenommenen Kompetenzbeschrä</w:t>
      </w:r>
      <w:r w:rsidRPr="004C738A">
        <w:rPr>
          <w:rFonts w:ascii="Times New Roman" w:hAnsi="Times New Roman"/>
          <w:sz w:val="24"/>
          <w:szCs w:val="24"/>
        </w:rPr>
        <w:t>n</w:t>
      </w:r>
      <w:r w:rsidRPr="004C738A">
        <w:rPr>
          <w:rFonts w:ascii="Times New Roman" w:hAnsi="Times New Roman"/>
          <w:sz w:val="24"/>
          <w:szCs w:val="24"/>
        </w:rPr>
        <w:t>kungen im Bereich der Finanzverfassung in der neuen Verfassung festgeschrieben: Die Übe</w:t>
      </w:r>
      <w:r w:rsidRPr="004C738A">
        <w:rPr>
          <w:rFonts w:ascii="Times New Roman" w:hAnsi="Times New Roman"/>
          <w:sz w:val="24"/>
          <w:szCs w:val="24"/>
        </w:rPr>
        <w:t>r</w:t>
      </w:r>
      <w:r w:rsidRPr="004C738A">
        <w:rPr>
          <w:rFonts w:ascii="Times New Roman" w:hAnsi="Times New Roman"/>
          <w:sz w:val="24"/>
          <w:szCs w:val="24"/>
        </w:rPr>
        <w:t>prüfung des Budgets und seiner Durchsetzung sowie Steuer- und Abgabengesetze, Zölle und örtliche Steuern blieben seiner Jurisdiktionsgewalt entzogen, so dass ein großer Teil der Wir</w:t>
      </w:r>
      <w:r w:rsidRPr="004C738A">
        <w:rPr>
          <w:rFonts w:ascii="Times New Roman" w:hAnsi="Times New Roman"/>
          <w:sz w:val="24"/>
          <w:szCs w:val="24"/>
        </w:rPr>
        <w:t>t</w:t>
      </w:r>
      <w:r w:rsidRPr="004C738A">
        <w:rPr>
          <w:rFonts w:ascii="Times New Roman" w:hAnsi="Times New Roman"/>
          <w:sz w:val="24"/>
          <w:szCs w:val="24"/>
        </w:rPr>
        <w:t>schaftspolitik keiner verfassungsgerichtlichen Kontrolle mehr unterliegt.</w:t>
      </w:r>
      <w:r w:rsidRPr="004C738A">
        <w:rPr>
          <w:rStyle w:val="Funotenzeichen"/>
          <w:rFonts w:ascii="Times New Roman" w:hAnsi="Times New Roman" w:cs="Times New Roman"/>
          <w:sz w:val="24"/>
          <w:szCs w:val="24"/>
        </w:rPr>
        <w:footnoteReference w:id="6"/>
      </w:r>
      <w:r w:rsidRPr="004C738A">
        <w:rPr>
          <w:rFonts w:ascii="Times New Roman" w:hAnsi="Times New Roman"/>
          <w:sz w:val="24"/>
          <w:szCs w:val="24"/>
        </w:rPr>
        <w:t xml:space="preserve"> Darüber hinaus wurde dem Verfassungsgericht untersagt, sich auf die eigene Spruchpraxis vor dem Inkrafttr</w:t>
      </w:r>
      <w:r w:rsidRPr="004C738A">
        <w:rPr>
          <w:rFonts w:ascii="Times New Roman" w:hAnsi="Times New Roman"/>
          <w:sz w:val="24"/>
          <w:szCs w:val="24"/>
        </w:rPr>
        <w:t>e</w:t>
      </w:r>
      <w:r w:rsidRPr="004C738A">
        <w:rPr>
          <w:rFonts w:ascii="Times New Roman" w:hAnsi="Times New Roman"/>
          <w:sz w:val="24"/>
          <w:szCs w:val="24"/>
        </w:rPr>
        <w:t>ten der Verfassung im Januar 2012 zu berufen</w:t>
      </w:r>
      <w:r w:rsidR="00392254" w:rsidRPr="004C738A">
        <w:rPr>
          <w:rFonts w:ascii="Times New Roman" w:hAnsi="Times New Roman"/>
          <w:sz w:val="24"/>
          <w:szCs w:val="24"/>
        </w:rPr>
        <w:t>,</w:t>
      </w:r>
      <w:r w:rsidRPr="004C738A">
        <w:rPr>
          <w:rStyle w:val="Funotenzeichen"/>
          <w:rFonts w:ascii="Times New Roman" w:hAnsi="Times New Roman" w:cs="Times New Roman"/>
          <w:sz w:val="24"/>
          <w:szCs w:val="24"/>
        </w:rPr>
        <w:footnoteReference w:id="7"/>
      </w:r>
      <w:r w:rsidRPr="004C738A">
        <w:rPr>
          <w:rFonts w:ascii="Times New Roman" w:hAnsi="Times New Roman"/>
          <w:sz w:val="24"/>
          <w:szCs w:val="24"/>
        </w:rPr>
        <w:t xml:space="preserve"> und eine materielle Kontrolle von Verfa</w:t>
      </w:r>
      <w:r w:rsidRPr="004C738A">
        <w:rPr>
          <w:rFonts w:ascii="Times New Roman" w:hAnsi="Times New Roman"/>
          <w:sz w:val="24"/>
          <w:szCs w:val="24"/>
        </w:rPr>
        <w:t>s</w:t>
      </w:r>
      <w:r w:rsidRPr="004C738A">
        <w:rPr>
          <w:rFonts w:ascii="Times New Roman" w:hAnsi="Times New Roman"/>
          <w:sz w:val="24"/>
          <w:szCs w:val="24"/>
        </w:rPr>
        <w:t xml:space="preserve">sungsänderungen, die die Regierung </w:t>
      </w:r>
      <w:r w:rsidRPr="004C738A">
        <w:rPr>
          <w:rFonts w:ascii="Times New Roman" w:hAnsi="Times New Roman"/>
          <w:i/>
          <w:sz w:val="24"/>
          <w:szCs w:val="24"/>
        </w:rPr>
        <w:t xml:space="preserve">Orban </w:t>
      </w:r>
      <w:r w:rsidRPr="004C738A">
        <w:rPr>
          <w:rFonts w:ascii="Times New Roman" w:hAnsi="Times New Roman"/>
          <w:sz w:val="24"/>
          <w:szCs w:val="24"/>
        </w:rPr>
        <w:t>ab 2010 in großer Zahl vornahm, ausgeschlossen.</w:t>
      </w:r>
      <w:r w:rsidR="00392254" w:rsidRPr="004C738A">
        <w:rPr>
          <w:rFonts w:ascii="Times New Roman" w:hAnsi="Times New Roman"/>
          <w:sz w:val="24"/>
          <w:szCs w:val="24"/>
        </w:rPr>
        <w:t xml:space="preserve"> </w:t>
      </w:r>
      <w:r w:rsidRPr="004C738A">
        <w:rPr>
          <w:rFonts w:ascii="Times New Roman" w:hAnsi="Times New Roman"/>
          <w:sz w:val="24"/>
          <w:szCs w:val="24"/>
        </w:rPr>
        <w:t>Die Antragsbefugnis bei der nachträglichen abstrakten Normenkontrolle wurde stark eing</w:t>
      </w:r>
      <w:r w:rsidRPr="004C738A">
        <w:rPr>
          <w:rFonts w:ascii="Times New Roman" w:hAnsi="Times New Roman"/>
          <w:sz w:val="24"/>
          <w:szCs w:val="24"/>
        </w:rPr>
        <w:t>e</w:t>
      </w:r>
      <w:r w:rsidRPr="004C738A">
        <w:rPr>
          <w:rFonts w:ascii="Times New Roman" w:hAnsi="Times New Roman"/>
          <w:sz w:val="24"/>
          <w:szCs w:val="24"/>
        </w:rPr>
        <w:t xml:space="preserve">schränkt: </w:t>
      </w:r>
      <w:r w:rsidR="00392254" w:rsidRPr="004C738A">
        <w:rPr>
          <w:rFonts w:ascii="Times New Roman" w:hAnsi="Times New Roman"/>
          <w:sz w:val="24"/>
          <w:szCs w:val="24"/>
        </w:rPr>
        <w:t xml:space="preserve">anders als bei </w:t>
      </w:r>
      <w:r w:rsidRPr="004C738A">
        <w:rPr>
          <w:rFonts w:ascii="Times New Roman" w:hAnsi="Times New Roman"/>
          <w:sz w:val="24"/>
          <w:szCs w:val="24"/>
        </w:rPr>
        <w:t xml:space="preserve">der früheren </w:t>
      </w:r>
      <w:r w:rsidRPr="004C738A">
        <w:rPr>
          <w:rFonts w:ascii="Times New Roman" w:hAnsi="Times New Roman"/>
          <w:i/>
          <w:sz w:val="24"/>
          <w:szCs w:val="24"/>
        </w:rPr>
        <w:t>actio popularis</w:t>
      </w:r>
      <w:r w:rsidRPr="004C738A">
        <w:rPr>
          <w:rFonts w:ascii="Times New Roman" w:hAnsi="Times New Roman"/>
          <w:sz w:val="24"/>
          <w:szCs w:val="24"/>
        </w:rPr>
        <w:t xml:space="preserve"> – die nachträgliche abstrakte Norme</w:t>
      </w:r>
      <w:r w:rsidRPr="004C738A">
        <w:rPr>
          <w:rFonts w:ascii="Times New Roman" w:hAnsi="Times New Roman"/>
          <w:sz w:val="24"/>
          <w:szCs w:val="24"/>
        </w:rPr>
        <w:t>n</w:t>
      </w:r>
      <w:r w:rsidRPr="004C738A">
        <w:rPr>
          <w:rFonts w:ascii="Times New Roman" w:hAnsi="Times New Roman"/>
          <w:sz w:val="24"/>
          <w:szCs w:val="24"/>
        </w:rPr>
        <w:t>kontrolle war gewissermaßen das Substitut für die Verfassungsbeschwerde</w:t>
      </w:r>
      <w:r w:rsidRPr="004C738A">
        <w:rPr>
          <w:rStyle w:val="Funotenzeichen"/>
          <w:rFonts w:ascii="Times New Roman" w:hAnsi="Times New Roman" w:cs="Times New Roman"/>
          <w:sz w:val="24"/>
          <w:szCs w:val="24"/>
        </w:rPr>
        <w:footnoteReference w:id="8"/>
      </w:r>
      <w:r w:rsidRPr="004C738A">
        <w:rPr>
          <w:rFonts w:ascii="Times New Roman" w:hAnsi="Times New Roman"/>
          <w:sz w:val="24"/>
          <w:szCs w:val="24"/>
        </w:rPr>
        <w:t xml:space="preserve"> – wurde </w:t>
      </w:r>
      <w:r w:rsidR="00392254" w:rsidRPr="004C738A">
        <w:rPr>
          <w:rFonts w:ascii="Times New Roman" w:hAnsi="Times New Roman"/>
          <w:sz w:val="24"/>
          <w:szCs w:val="24"/>
        </w:rPr>
        <w:t xml:space="preserve">sie </w:t>
      </w:r>
      <w:r w:rsidRPr="004C738A">
        <w:rPr>
          <w:rFonts w:ascii="Times New Roman" w:hAnsi="Times New Roman"/>
          <w:sz w:val="24"/>
          <w:szCs w:val="24"/>
        </w:rPr>
        <w:t>auf die Regierung, ein Viertel der Abgeordneten sowie – 2013 – auf den Präsidenten des obersten Gerichtshofes und die Generalstaatsanwaltschaft beschränkt.</w:t>
      </w:r>
      <w:r w:rsidRPr="004C738A">
        <w:rPr>
          <w:rStyle w:val="Funotenzeichen"/>
          <w:rFonts w:ascii="Times New Roman" w:hAnsi="Times New Roman" w:cs="Times New Roman"/>
          <w:sz w:val="24"/>
          <w:szCs w:val="24"/>
        </w:rPr>
        <w:footnoteReference w:id="9"/>
      </w:r>
    </w:p>
    <w:p w:rsidR="00392254" w:rsidRPr="004C738A" w:rsidRDefault="00392254" w:rsidP="006D0400">
      <w:pPr>
        <w:rPr>
          <w:rFonts w:ascii="Times New Roman" w:hAnsi="Times New Roman"/>
          <w:sz w:val="24"/>
          <w:szCs w:val="24"/>
        </w:rPr>
      </w:pPr>
    </w:p>
    <w:p w:rsidR="00392254" w:rsidRPr="004C738A" w:rsidRDefault="00392254" w:rsidP="00392254">
      <w:pPr>
        <w:rPr>
          <w:rFonts w:ascii="Times New Roman" w:hAnsi="Times New Roman"/>
          <w:sz w:val="24"/>
          <w:szCs w:val="24"/>
        </w:rPr>
      </w:pPr>
      <w:r w:rsidRPr="004C738A">
        <w:rPr>
          <w:rFonts w:ascii="Times New Roman" w:hAnsi="Times New Roman"/>
          <w:sz w:val="24"/>
          <w:szCs w:val="24"/>
        </w:rPr>
        <w:t>In dem bis dahin paritätisch zusammengesetzten Nominierungsausschuss wurde darüber hi</w:t>
      </w:r>
      <w:r w:rsidRPr="004C738A">
        <w:rPr>
          <w:rFonts w:ascii="Times New Roman" w:hAnsi="Times New Roman"/>
          <w:sz w:val="24"/>
          <w:szCs w:val="24"/>
        </w:rPr>
        <w:t>n</w:t>
      </w:r>
      <w:r w:rsidRPr="004C738A">
        <w:rPr>
          <w:rFonts w:ascii="Times New Roman" w:hAnsi="Times New Roman"/>
          <w:sz w:val="24"/>
          <w:szCs w:val="24"/>
        </w:rPr>
        <w:t>aus das Mehrheitsprinzip eingeführt, die Wahl des Präsidenten dem Parlament, statt wie bis dahin den Richtern zugewiesen. Die Anzahl der Verfassungsrichter wurde von zunächst 11 auf 15 erhöht,</w:t>
      </w:r>
      <w:r w:rsidRPr="004C738A">
        <w:rPr>
          <w:rFonts w:ascii="Times New Roman" w:hAnsi="Times New Roman"/>
          <w:sz w:val="24"/>
          <w:szCs w:val="24"/>
          <w:vertAlign w:val="superscript"/>
        </w:rPr>
        <w:footnoteReference w:id="10"/>
      </w:r>
      <w:r w:rsidRPr="004C738A">
        <w:rPr>
          <w:rFonts w:ascii="Times New Roman" w:hAnsi="Times New Roman"/>
          <w:sz w:val="24"/>
          <w:szCs w:val="24"/>
        </w:rPr>
        <w:t xml:space="preserve"> was der mit einer Zweidrittelmehrheit regierenden Koalition unter </w:t>
      </w:r>
      <w:r w:rsidRPr="004C738A">
        <w:rPr>
          <w:rFonts w:ascii="Times New Roman" w:hAnsi="Times New Roman"/>
          <w:i/>
          <w:sz w:val="24"/>
          <w:szCs w:val="24"/>
        </w:rPr>
        <w:t xml:space="preserve">Viktor Orban </w:t>
      </w:r>
      <w:r w:rsidRPr="004C738A">
        <w:rPr>
          <w:rFonts w:ascii="Times New Roman" w:hAnsi="Times New Roman"/>
          <w:sz w:val="24"/>
          <w:szCs w:val="24"/>
        </w:rPr>
        <w:t>ein sog. court packing ermöglichte.</w:t>
      </w:r>
      <w:r w:rsidRPr="004C738A">
        <w:rPr>
          <w:rFonts w:ascii="Times New Roman" w:hAnsi="Times New Roman"/>
          <w:sz w:val="24"/>
          <w:szCs w:val="24"/>
          <w:vertAlign w:val="superscript"/>
        </w:rPr>
        <w:footnoteReference w:id="11"/>
      </w:r>
      <w:r w:rsidRPr="004C738A">
        <w:rPr>
          <w:rFonts w:ascii="Times New Roman" w:hAnsi="Times New Roman"/>
          <w:sz w:val="24"/>
          <w:szCs w:val="24"/>
        </w:rPr>
        <w:t xml:space="preserve"> </w:t>
      </w:r>
      <w:r w:rsidRPr="004C738A">
        <w:rPr>
          <w:rFonts w:ascii="Times New Roman" w:hAnsi="Times New Roman"/>
          <w:i/>
          <w:sz w:val="24"/>
          <w:szCs w:val="24"/>
        </w:rPr>
        <w:t xml:space="preserve">László Sólyom </w:t>
      </w:r>
      <w:r w:rsidRPr="004C738A">
        <w:rPr>
          <w:rFonts w:ascii="Times New Roman" w:hAnsi="Times New Roman"/>
          <w:sz w:val="24"/>
          <w:szCs w:val="24"/>
        </w:rPr>
        <w:t>beschreibt dies wie folgt:</w:t>
      </w:r>
    </w:p>
    <w:p w:rsidR="00840B8B" w:rsidRPr="004C738A" w:rsidRDefault="00840B8B" w:rsidP="00392254">
      <w:pPr>
        <w:rPr>
          <w:rFonts w:ascii="Times New Roman" w:hAnsi="Times New Roman"/>
          <w:sz w:val="24"/>
          <w:szCs w:val="24"/>
        </w:rPr>
      </w:pPr>
    </w:p>
    <w:p w:rsidR="00392254" w:rsidRPr="004C738A" w:rsidRDefault="00840B8B" w:rsidP="00D21E0A">
      <w:pPr>
        <w:pStyle w:val="Zitat"/>
      </w:pPr>
      <w:r w:rsidRPr="00D21E0A">
        <w:lastRenderedPageBreak/>
        <w:t>„</w:t>
      </w:r>
      <w:r w:rsidR="00392254" w:rsidRPr="00D21E0A">
        <w:t>Mitte 2011 wählte das Parlament für die verlängerte Amtszeit von zwölf Jahren die fünf zusätzlichen Verfassungsrichter, die alle Kandidaten der Regierungspartei waren. Dies hatte zur Folge, dass die Regierungspartei großen Einfluss auf die Zusammense</w:t>
      </w:r>
      <w:r w:rsidR="00392254" w:rsidRPr="00D21E0A">
        <w:t>t</w:t>
      </w:r>
      <w:r w:rsidR="00392254" w:rsidRPr="00D21E0A">
        <w:t>zung des Verfassungsgerichts hatte und seine Arbeit erschwerte.“</w:t>
      </w:r>
      <w:r w:rsidR="00392254" w:rsidRPr="004C738A">
        <w:rPr>
          <w:vertAlign w:val="superscript"/>
        </w:rPr>
        <w:footnoteReference w:id="12"/>
      </w:r>
    </w:p>
    <w:p w:rsidR="00392254" w:rsidRPr="004C738A" w:rsidRDefault="00392254" w:rsidP="00392254">
      <w:pPr>
        <w:rPr>
          <w:rFonts w:ascii="Times New Roman" w:hAnsi="Times New Roman"/>
          <w:sz w:val="24"/>
          <w:szCs w:val="24"/>
        </w:rPr>
      </w:pPr>
    </w:p>
    <w:p w:rsidR="006D0400" w:rsidRDefault="00392254" w:rsidP="00392254">
      <w:pPr>
        <w:rPr>
          <w:rFonts w:ascii="Times New Roman" w:hAnsi="Times New Roman"/>
          <w:iCs/>
          <w:sz w:val="24"/>
          <w:szCs w:val="24"/>
        </w:rPr>
      </w:pPr>
      <w:r w:rsidRPr="004C738A">
        <w:rPr>
          <w:rFonts w:ascii="Times New Roman" w:hAnsi="Times New Roman"/>
          <w:sz w:val="24"/>
          <w:szCs w:val="24"/>
        </w:rPr>
        <w:t xml:space="preserve">Zwar haben </w:t>
      </w:r>
      <w:r w:rsidR="006D0400" w:rsidRPr="004C738A">
        <w:rPr>
          <w:rFonts w:ascii="Times New Roman" w:hAnsi="Times New Roman"/>
          <w:sz w:val="24"/>
          <w:szCs w:val="24"/>
        </w:rPr>
        <w:t xml:space="preserve">europäische Institutionen </w:t>
      </w:r>
      <w:r w:rsidRPr="004C738A">
        <w:rPr>
          <w:rFonts w:ascii="Times New Roman" w:hAnsi="Times New Roman"/>
          <w:sz w:val="24"/>
          <w:szCs w:val="24"/>
        </w:rPr>
        <w:t>d</w:t>
      </w:r>
      <w:r w:rsidR="002D07EA" w:rsidRPr="004C738A">
        <w:rPr>
          <w:rFonts w:ascii="Times New Roman" w:hAnsi="Times New Roman"/>
          <w:sz w:val="24"/>
          <w:szCs w:val="24"/>
        </w:rPr>
        <w:t>i</w:t>
      </w:r>
      <w:r w:rsidRPr="004C738A">
        <w:rPr>
          <w:rFonts w:ascii="Times New Roman" w:hAnsi="Times New Roman"/>
          <w:sz w:val="24"/>
          <w:szCs w:val="24"/>
        </w:rPr>
        <w:t>e ein oder andere Maßnahme zur Demontage der u</w:t>
      </w:r>
      <w:r w:rsidRPr="004C738A">
        <w:rPr>
          <w:rFonts w:ascii="Times New Roman" w:hAnsi="Times New Roman"/>
          <w:sz w:val="24"/>
          <w:szCs w:val="24"/>
        </w:rPr>
        <w:t>n</w:t>
      </w:r>
      <w:r w:rsidRPr="004C738A">
        <w:rPr>
          <w:rFonts w:ascii="Times New Roman" w:hAnsi="Times New Roman"/>
          <w:sz w:val="24"/>
          <w:szCs w:val="24"/>
        </w:rPr>
        <w:t xml:space="preserve">garischen Justiz im Allgemeinen und des Verfassungsgerichts im Besonderen </w:t>
      </w:r>
      <w:r w:rsidR="006D0400" w:rsidRPr="004C738A">
        <w:rPr>
          <w:rFonts w:ascii="Times New Roman" w:hAnsi="Times New Roman"/>
          <w:sz w:val="24"/>
          <w:szCs w:val="24"/>
        </w:rPr>
        <w:t>verhindert: Der Gerichtshof</w:t>
      </w:r>
      <w:r w:rsidRPr="004C738A">
        <w:rPr>
          <w:rFonts w:ascii="Times New Roman" w:hAnsi="Times New Roman"/>
          <w:sz w:val="24"/>
          <w:szCs w:val="24"/>
        </w:rPr>
        <w:t xml:space="preserve"> der Europäischen Union etwa</w:t>
      </w:r>
      <w:r w:rsidR="006D0400" w:rsidRPr="004C738A">
        <w:rPr>
          <w:rFonts w:ascii="Times New Roman" w:hAnsi="Times New Roman"/>
          <w:sz w:val="24"/>
          <w:szCs w:val="24"/>
        </w:rPr>
        <w:t xml:space="preserve"> hat in einem von der </w:t>
      </w:r>
      <w:r w:rsidRPr="004C738A">
        <w:rPr>
          <w:rFonts w:ascii="Times New Roman" w:hAnsi="Times New Roman"/>
          <w:sz w:val="24"/>
          <w:szCs w:val="24"/>
        </w:rPr>
        <w:t>EU-</w:t>
      </w:r>
      <w:r w:rsidR="006D0400" w:rsidRPr="004C738A">
        <w:rPr>
          <w:rFonts w:ascii="Times New Roman" w:hAnsi="Times New Roman"/>
          <w:sz w:val="24"/>
          <w:szCs w:val="24"/>
        </w:rPr>
        <w:t>Kommission angestren</w:t>
      </w:r>
      <w:r w:rsidR="006D0400" w:rsidRPr="004C738A">
        <w:rPr>
          <w:rFonts w:ascii="Times New Roman" w:hAnsi="Times New Roman"/>
          <w:sz w:val="24"/>
          <w:szCs w:val="24"/>
        </w:rPr>
        <w:t>g</w:t>
      </w:r>
      <w:r w:rsidR="006D0400" w:rsidRPr="004C738A">
        <w:rPr>
          <w:rFonts w:ascii="Times New Roman" w:hAnsi="Times New Roman"/>
          <w:sz w:val="24"/>
          <w:szCs w:val="24"/>
        </w:rPr>
        <w:t xml:space="preserve">ten Vertragsverletzungsverfahren die Zwangspensionierung der Richter </w:t>
      </w:r>
      <w:r w:rsidRPr="004C738A">
        <w:rPr>
          <w:rFonts w:ascii="Times New Roman" w:hAnsi="Times New Roman"/>
          <w:sz w:val="24"/>
          <w:szCs w:val="24"/>
        </w:rPr>
        <w:t>untersagt,</w:t>
      </w:r>
      <w:r w:rsidR="006D0400" w:rsidRPr="004C738A">
        <w:rPr>
          <w:rStyle w:val="Funotenzeichen"/>
          <w:rFonts w:ascii="Times New Roman" w:hAnsi="Times New Roman" w:cs="Times New Roman"/>
          <w:sz w:val="24"/>
          <w:szCs w:val="24"/>
        </w:rPr>
        <w:footnoteReference w:id="13"/>
      </w:r>
      <w:r w:rsidR="006D0400" w:rsidRPr="004C738A">
        <w:rPr>
          <w:rFonts w:ascii="Times New Roman" w:hAnsi="Times New Roman"/>
          <w:sz w:val="24"/>
          <w:szCs w:val="24"/>
        </w:rPr>
        <w:t xml:space="preserve"> der E</w:t>
      </w:r>
      <w:r w:rsidRPr="004C738A">
        <w:rPr>
          <w:rFonts w:ascii="Times New Roman" w:hAnsi="Times New Roman"/>
          <w:sz w:val="24"/>
          <w:szCs w:val="24"/>
        </w:rPr>
        <w:t>ur</w:t>
      </w:r>
      <w:r w:rsidRPr="004C738A">
        <w:rPr>
          <w:rFonts w:ascii="Times New Roman" w:hAnsi="Times New Roman"/>
          <w:sz w:val="24"/>
          <w:szCs w:val="24"/>
        </w:rPr>
        <w:t>o</w:t>
      </w:r>
      <w:r w:rsidRPr="004C738A">
        <w:rPr>
          <w:rFonts w:ascii="Times New Roman" w:hAnsi="Times New Roman"/>
          <w:sz w:val="24"/>
          <w:szCs w:val="24"/>
        </w:rPr>
        <w:t xml:space="preserve">päische Gerichtshof für Menschenrechte </w:t>
      </w:r>
      <w:r w:rsidR="006D0400" w:rsidRPr="004C738A">
        <w:rPr>
          <w:rFonts w:ascii="Times New Roman" w:hAnsi="Times New Roman"/>
          <w:sz w:val="24"/>
          <w:szCs w:val="24"/>
        </w:rPr>
        <w:t>die Entlassung des Präsidenten des Obersten G</w:t>
      </w:r>
      <w:r w:rsidR="006D0400" w:rsidRPr="004C738A">
        <w:rPr>
          <w:rFonts w:ascii="Times New Roman" w:hAnsi="Times New Roman"/>
          <w:sz w:val="24"/>
          <w:szCs w:val="24"/>
        </w:rPr>
        <w:t>e</w:t>
      </w:r>
      <w:r w:rsidR="006D0400" w:rsidRPr="004C738A">
        <w:rPr>
          <w:rFonts w:ascii="Times New Roman" w:hAnsi="Times New Roman"/>
          <w:sz w:val="24"/>
          <w:szCs w:val="24"/>
        </w:rPr>
        <w:t>richts beanstandet.</w:t>
      </w:r>
      <w:r w:rsidR="006D0400" w:rsidRPr="004C738A">
        <w:rPr>
          <w:rStyle w:val="Funotenzeichen"/>
          <w:rFonts w:ascii="Times New Roman" w:hAnsi="Times New Roman" w:cs="Times New Roman"/>
          <w:sz w:val="24"/>
          <w:szCs w:val="24"/>
        </w:rPr>
        <w:footnoteReference w:id="14"/>
      </w:r>
      <w:r w:rsidR="006D0400" w:rsidRPr="004C738A">
        <w:rPr>
          <w:rFonts w:ascii="Times New Roman" w:hAnsi="Times New Roman"/>
          <w:sz w:val="24"/>
          <w:szCs w:val="24"/>
        </w:rPr>
        <w:t xml:space="preserve"> Auch die Berichte der Venedig-Kommission hatten eine mäßigende Wi</w:t>
      </w:r>
      <w:r w:rsidR="006D0400" w:rsidRPr="004C738A">
        <w:rPr>
          <w:rFonts w:ascii="Times New Roman" w:hAnsi="Times New Roman"/>
          <w:sz w:val="24"/>
          <w:szCs w:val="24"/>
        </w:rPr>
        <w:t>r</w:t>
      </w:r>
      <w:r w:rsidR="006D0400" w:rsidRPr="004C738A">
        <w:rPr>
          <w:rFonts w:ascii="Times New Roman" w:hAnsi="Times New Roman"/>
          <w:sz w:val="24"/>
          <w:szCs w:val="24"/>
        </w:rPr>
        <w:t>kung.</w:t>
      </w:r>
      <w:r w:rsidRPr="004C738A">
        <w:rPr>
          <w:rFonts w:ascii="Times New Roman" w:hAnsi="Times New Roman"/>
          <w:sz w:val="24"/>
          <w:szCs w:val="24"/>
        </w:rPr>
        <w:t xml:space="preserve"> Ans </w:t>
      </w:r>
      <w:r w:rsidR="00702E4D" w:rsidRPr="004C738A">
        <w:rPr>
          <w:rFonts w:ascii="Times New Roman" w:hAnsi="Times New Roman"/>
          <w:sz w:val="24"/>
          <w:szCs w:val="24"/>
        </w:rPr>
        <w:t>Ende gekommen ist der Umbau Ungarns zu einem autoritären Staat, wie die akt</w:t>
      </w:r>
      <w:r w:rsidR="00702E4D" w:rsidRPr="004C738A">
        <w:rPr>
          <w:rFonts w:ascii="Times New Roman" w:hAnsi="Times New Roman"/>
          <w:sz w:val="24"/>
          <w:szCs w:val="24"/>
        </w:rPr>
        <w:t>u</w:t>
      </w:r>
      <w:r w:rsidR="00702E4D" w:rsidRPr="004C738A">
        <w:rPr>
          <w:rFonts w:ascii="Times New Roman" w:hAnsi="Times New Roman"/>
          <w:sz w:val="24"/>
          <w:szCs w:val="24"/>
        </w:rPr>
        <w:t xml:space="preserve">ellen Auseinandersetzungen um die Sommeruniversität </w:t>
      </w:r>
      <w:r w:rsidR="00702E4D" w:rsidRPr="004C738A">
        <w:rPr>
          <w:rFonts w:ascii="Times New Roman" w:hAnsi="Times New Roman"/>
          <w:i/>
          <w:iCs/>
          <w:sz w:val="24"/>
          <w:szCs w:val="24"/>
        </w:rPr>
        <w:t xml:space="preserve">Bálványos </w:t>
      </w:r>
      <w:r w:rsidR="00702E4D" w:rsidRPr="004C738A">
        <w:rPr>
          <w:rFonts w:ascii="Times New Roman" w:hAnsi="Times New Roman"/>
          <w:iCs/>
          <w:sz w:val="24"/>
          <w:szCs w:val="24"/>
        </w:rPr>
        <w:t>zeigen,</w:t>
      </w:r>
      <w:r w:rsidR="005C76AE" w:rsidRPr="004C738A">
        <w:rPr>
          <w:rStyle w:val="Funotenzeichen"/>
          <w:rFonts w:ascii="Times New Roman" w:hAnsi="Times New Roman" w:cs="Times New Roman"/>
          <w:iCs/>
          <w:sz w:val="24"/>
          <w:szCs w:val="24"/>
        </w:rPr>
        <w:footnoteReference w:id="15"/>
      </w:r>
      <w:r w:rsidR="00702E4D" w:rsidRPr="004C738A">
        <w:rPr>
          <w:rFonts w:ascii="Times New Roman" w:hAnsi="Times New Roman"/>
          <w:iCs/>
          <w:sz w:val="24"/>
          <w:szCs w:val="24"/>
        </w:rPr>
        <w:t xml:space="preserve"> damit jedoch nicht.</w:t>
      </w:r>
    </w:p>
    <w:p w:rsidR="00954776" w:rsidRPr="004C738A" w:rsidRDefault="00954776" w:rsidP="00392254">
      <w:pPr>
        <w:rPr>
          <w:rFonts w:ascii="Times New Roman" w:hAnsi="Times New Roman"/>
          <w:sz w:val="24"/>
          <w:szCs w:val="24"/>
        </w:rPr>
      </w:pPr>
    </w:p>
    <w:p w:rsidR="006D0400" w:rsidRPr="004C738A" w:rsidRDefault="00287BE9" w:rsidP="002B5DC7">
      <w:pPr>
        <w:pStyle w:val="berschrift2"/>
        <w:rPr>
          <w:rFonts w:ascii="Times New Roman" w:hAnsi="Times New Roman" w:cs="Times New Roman"/>
          <w:sz w:val="24"/>
          <w:szCs w:val="24"/>
        </w:rPr>
      </w:pPr>
      <w:bookmarkStart w:id="3" w:name="_Toc498362298"/>
      <w:r w:rsidRPr="004C738A">
        <w:rPr>
          <w:rFonts w:ascii="Times New Roman" w:hAnsi="Times New Roman" w:cs="Times New Roman"/>
          <w:sz w:val="24"/>
          <w:szCs w:val="24"/>
        </w:rPr>
        <w:t>2</w:t>
      </w:r>
      <w:r w:rsidR="005C76AE" w:rsidRPr="004C738A">
        <w:rPr>
          <w:rFonts w:ascii="Times New Roman" w:hAnsi="Times New Roman" w:cs="Times New Roman"/>
          <w:sz w:val="24"/>
          <w:szCs w:val="24"/>
        </w:rPr>
        <w:t xml:space="preserve">. </w:t>
      </w:r>
      <w:r w:rsidR="006D0400" w:rsidRPr="004C738A">
        <w:rPr>
          <w:rFonts w:ascii="Times New Roman" w:hAnsi="Times New Roman" w:cs="Times New Roman"/>
          <w:sz w:val="24"/>
          <w:szCs w:val="24"/>
        </w:rPr>
        <w:t>Polen</w:t>
      </w:r>
      <w:bookmarkEnd w:id="3"/>
    </w:p>
    <w:p w:rsidR="00DC685E" w:rsidRPr="004C738A" w:rsidRDefault="005C76AE" w:rsidP="006D0400">
      <w:pPr>
        <w:rPr>
          <w:rFonts w:ascii="Times New Roman" w:hAnsi="Times New Roman"/>
          <w:sz w:val="24"/>
          <w:szCs w:val="24"/>
        </w:rPr>
      </w:pPr>
      <w:r w:rsidRPr="004C738A">
        <w:rPr>
          <w:rFonts w:ascii="Times New Roman" w:hAnsi="Times New Roman"/>
          <w:sz w:val="24"/>
          <w:szCs w:val="24"/>
        </w:rPr>
        <w:t xml:space="preserve">Noch schwieriger stellt sich die Lage in </w:t>
      </w:r>
      <w:r w:rsidR="006D0400" w:rsidRPr="004C738A">
        <w:rPr>
          <w:rFonts w:ascii="Times New Roman" w:hAnsi="Times New Roman"/>
          <w:sz w:val="24"/>
          <w:szCs w:val="24"/>
        </w:rPr>
        <w:t>Polen</w:t>
      </w:r>
      <w:r w:rsidRPr="004C738A">
        <w:rPr>
          <w:rFonts w:ascii="Times New Roman" w:hAnsi="Times New Roman"/>
          <w:sz w:val="24"/>
          <w:szCs w:val="24"/>
        </w:rPr>
        <w:t xml:space="preserve"> dar</w:t>
      </w:r>
      <w:r w:rsidR="006D0400" w:rsidRPr="004C738A">
        <w:rPr>
          <w:rFonts w:ascii="Times New Roman" w:hAnsi="Times New Roman"/>
          <w:sz w:val="24"/>
          <w:szCs w:val="24"/>
        </w:rPr>
        <w:t>.</w:t>
      </w:r>
      <w:r w:rsidRPr="004C738A">
        <w:rPr>
          <w:rFonts w:ascii="Times New Roman" w:hAnsi="Times New Roman"/>
          <w:sz w:val="24"/>
          <w:szCs w:val="24"/>
        </w:rPr>
        <w:t xml:space="preserve"> </w:t>
      </w:r>
      <w:r w:rsidR="006D0400" w:rsidRPr="004C738A">
        <w:rPr>
          <w:rFonts w:ascii="Times New Roman" w:hAnsi="Times New Roman"/>
          <w:sz w:val="24"/>
          <w:szCs w:val="24"/>
        </w:rPr>
        <w:t>Hier herrscht eine veritable Verfassung</w:t>
      </w:r>
      <w:r w:rsidR="006D0400" w:rsidRPr="004C738A">
        <w:rPr>
          <w:rFonts w:ascii="Times New Roman" w:hAnsi="Times New Roman"/>
          <w:sz w:val="24"/>
          <w:szCs w:val="24"/>
        </w:rPr>
        <w:t>s</w:t>
      </w:r>
      <w:r w:rsidR="006D0400" w:rsidRPr="004C738A">
        <w:rPr>
          <w:rFonts w:ascii="Times New Roman" w:hAnsi="Times New Roman"/>
          <w:sz w:val="24"/>
          <w:szCs w:val="24"/>
        </w:rPr>
        <w:t xml:space="preserve">krise, seit </w:t>
      </w:r>
      <w:r w:rsidRPr="004C738A">
        <w:rPr>
          <w:rFonts w:ascii="Times New Roman" w:hAnsi="Times New Roman"/>
          <w:sz w:val="24"/>
          <w:szCs w:val="24"/>
        </w:rPr>
        <w:t xml:space="preserve">im Jahre 2015 </w:t>
      </w:r>
      <w:r w:rsidR="006D0400" w:rsidRPr="004C738A">
        <w:rPr>
          <w:rFonts w:ascii="Times New Roman" w:hAnsi="Times New Roman"/>
          <w:sz w:val="24"/>
          <w:szCs w:val="24"/>
        </w:rPr>
        <w:t xml:space="preserve">die </w:t>
      </w:r>
      <w:r w:rsidR="006D0400" w:rsidRPr="004C738A">
        <w:rPr>
          <w:rFonts w:ascii="Times New Roman" w:hAnsi="Times New Roman"/>
          <w:i/>
          <w:sz w:val="24"/>
          <w:szCs w:val="24"/>
        </w:rPr>
        <w:t xml:space="preserve">Jarosław Kaczyński </w:t>
      </w:r>
      <w:r w:rsidR="006D0400" w:rsidRPr="004C738A">
        <w:rPr>
          <w:rFonts w:ascii="Times New Roman" w:hAnsi="Times New Roman"/>
          <w:sz w:val="24"/>
          <w:szCs w:val="24"/>
        </w:rPr>
        <w:t xml:space="preserve">treue Regierung </w:t>
      </w:r>
      <w:r w:rsidR="002B5DC7" w:rsidRPr="004C738A">
        <w:rPr>
          <w:rFonts w:ascii="Times New Roman" w:hAnsi="Times New Roman"/>
          <w:sz w:val="24"/>
          <w:szCs w:val="24"/>
        </w:rPr>
        <w:t xml:space="preserve">von </w:t>
      </w:r>
      <w:r w:rsidR="002B5DC7" w:rsidRPr="004C738A">
        <w:rPr>
          <w:rFonts w:ascii="Times New Roman" w:hAnsi="Times New Roman"/>
          <w:i/>
          <w:sz w:val="24"/>
          <w:szCs w:val="24"/>
        </w:rPr>
        <w:t>Prawo i Sprawiedl</w:t>
      </w:r>
      <w:r w:rsidR="002B5DC7" w:rsidRPr="004C738A">
        <w:rPr>
          <w:rFonts w:ascii="Times New Roman" w:hAnsi="Times New Roman"/>
          <w:i/>
          <w:sz w:val="24"/>
          <w:szCs w:val="24"/>
        </w:rPr>
        <w:t>i</w:t>
      </w:r>
      <w:r w:rsidR="002B5DC7" w:rsidRPr="004C738A">
        <w:rPr>
          <w:rFonts w:ascii="Times New Roman" w:hAnsi="Times New Roman"/>
          <w:i/>
          <w:sz w:val="24"/>
          <w:szCs w:val="24"/>
        </w:rPr>
        <w:t xml:space="preserve">wość </w:t>
      </w:r>
      <w:r w:rsidR="002B5DC7" w:rsidRPr="004C738A">
        <w:rPr>
          <w:rFonts w:ascii="Times New Roman" w:hAnsi="Times New Roman"/>
          <w:sz w:val="24"/>
          <w:szCs w:val="24"/>
        </w:rPr>
        <w:t xml:space="preserve">(Recht und Gerechtigkeit </w:t>
      </w:r>
      <w:r w:rsidR="00954776">
        <w:rPr>
          <w:rFonts w:ascii="Times New Roman" w:hAnsi="Times New Roman"/>
          <w:sz w:val="24"/>
          <w:szCs w:val="24"/>
        </w:rPr>
        <w:t>–</w:t>
      </w:r>
      <w:r w:rsidR="00954776" w:rsidRPr="004C738A">
        <w:rPr>
          <w:rFonts w:ascii="Times New Roman" w:hAnsi="Times New Roman"/>
          <w:sz w:val="24"/>
          <w:szCs w:val="24"/>
        </w:rPr>
        <w:t xml:space="preserve"> </w:t>
      </w:r>
      <w:r w:rsidR="002B5DC7" w:rsidRPr="004C738A">
        <w:rPr>
          <w:rFonts w:ascii="Times New Roman" w:hAnsi="Times New Roman"/>
          <w:sz w:val="24"/>
          <w:szCs w:val="24"/>
        </w:rPr>
        <w:t>PiS)</w:t>
      </w:r>
      <w:r w:rsidR="006D0400" w:rsidRPr="004C738A">
        <w:rPr>
          <w:rFonts w:ascii="Times New Roman" w:hAnsi="Times New Roman"/>
          <w:sz w:val="24"/>
          <w:szCs w:val="24"/>
        </w:rPr>
        <w:t xml:space="preserve"> die Macht übernommen hat.</w:t>
      </w:r>
      <w:r w:rsidR="006D0400" w:rsidRPr="004C738A">
        <w:rPr>
          <w:rStyle w:val="Funotenzeichen"/>
          <w:rFonts w:ascii="Times New Roman" w:hAnsi="Times New Roman" w:cs="Times New Roman"/>
          <w:sz w:val="24"/>
          <w:szCs w:val="24"/>
        </w:rPr>
        <w:footnoteReference w:id="16"/>
      </w:r>
    </w:p>
    <w:p w:rsidR="006932B9" w:rsidRPr="004C738A" w:rsidRDefault="006932B9" w:rsidP="006D0400">
      <w:pPr>
        <w:rPr>
          <w:rFonts w:ascii="Times New Roman" w:hAnsi="Times New Roman"/>
          <w:sz w:val="24"/>
          <w:szCs w:val="24"/>
        </w:rPr>
      </w:pPr>
    </w:p>
    <w:p w:rsidR="006932B9" w:rsidRPr="004C738A" w:rsidRDefault="006932B9" w:rsidP="001E6723">
      <w:pPr>
        <w:pStyle w:val="berschrift4"/>
        <w:jc w:val="center"/>
        <w:rPr>
          <w:rFonts w:ascii="Times New Roman" w:hAnsi="Times New Roman" w:cs="Times New Roman"/>
          <w:sz w:val="24"/>
          <w:szCs w:val="24"/>
        </w:rPr>
      </w:pPr>
      <w:bookmarkStart w:id="4" w:name="_Toc498362299"/>
      <w:r w:rsidRPr="004C738A">
        <w:rPr>
          <w:rFonts w:ascii="Times New Roman" w:hAnsi="Times New Roman" w:cs="Times New Roman"/>
          <w:sz w:val="24"/>
          <w:szCs w:val="24"/>
        </w:rPr>
        <w:t>a) Die Entwicklung im Einzelnen</w:t>
      </w:r>
      <w:bookmarkEnd w:id="4"/>
    </w:p>
    <w:p w:rsidR="00DC685E" w:rsidRPr="004C738A" w:rsidRDefault="00DC685E" w:rsidP="00DC685E">
      <w:pPr>
        <w:rPr>
          <w:rFonts w:ascii="Times New Roman" w:hAnsi="Times New Roman"/>
          <w:sz w:val="24"/>
          <w:szCs w:val="24"/>
        </w:rPr>
      </w:pPr>
      <w:r w:rsidRPr="004C738A">
        <w:rPr>
          <w:rFonts w:ascii="Times New Roman" w:hAnsi="Times New Roman"/>
          <w:sz w:val="24"/>
          <w:szCs w:val="24"/>
        </w:rPr>
        <w:t>Unmittelbar nach der Regierungsübernahme machte sich die neue Regierung sofort daran, das missliebige Verfassungsgericht unter ihre Kontrolle zu bringen. Organisation und Verfahren des Verfassungsgerichtshofs wurden so geändert</w:t>
      </w:r>
      <w:r w:rsidR="00E5497D" w:rsidRPr="004C738A">
        <w:rPr>
          <w:rFonts w:ascii="Times New Roman" w:hAnsi="Times New Roman"/>
          <w:sz w:val="24"/>
          <w:szCs w:val="24"/>
        </w:rPr>
        <w:t>, dass er mehr oder weniger kalt gestellt wu</w:t>
      </w:r>
      <w:r w:rsidR="00E5497D" w:rsidRPr="004C738A">
        <w:rPr>
          <w:rFonts w:ascii="Times New Roman" w:hAnsi="Times New Roman"/>
          <w:sz w:val="24"/>
          <w:szCs w:val="24"/>
        </w:rPr>
        <w:t>r</w:t>
      </w:r>
      <w:r w:rsidR="00E5497D" w:rsidRPr="004C738A">
        <w:rPr>
          <w:rFonts w:ascii="Times New Roman" w:hAnsi="Times New Roman"/>
          <w:sz w:val="24"/>
          <w:szCs w:val="24"/>
        </w:rPr>
        <w:t>de</w:t>
      </w:r>
      <w:r w:rsidRPr="004C738A">
        <w:rPr>
          <w:rFonts w:ascii="Times New Roman" w:hAnsi="Times New Roman"/>
          <w:sz w:val="24"/>
          <w:szCs w:val="24"/>
        </w:rPr>
        <w:t xml:space="preserve">. </w:t>
      </w:r>
      <w:r w:rsidR="00E5497D" w:rsidRPr="004C738A">
        <w:rPr>
          <w:rFonts w:ascii="Times New Roman" w:hAnsi="Times New Roman"/>
          <w:sz w:val="24"/>
          <w:szCs w:val="24"/>
        </w:rPr>
        <w:t>Schon a</w:t>
      </w:r>
      <w:r w:rsidRPr="004C738A">
        <w:rPr>
          <w:rFonts w:ascii="Times New Roman" w:hAnsi="Times New Roman"/>
          <w:sz w:val="24"/>
          <w:szCs w:val="24"/>
        </w:rPr>
        <w:t xml:space="preserve">m 22. Dezember 2015 </w:t>
      </w:r>
      <w:r w:rsidR="00E5497D" w:rsidRPr="004C738A">
        <w:rPr>
          <w:rFonts w:ascii="Times New Roman" w:hAnsi="Times New Roman"/>
          <w:sz w:val="24"/>
          <w:szCs w:val="24"/>
        </w:rPr>
        <w:t xml:space="preserve">beschloss </w:t>
      </w:r>
      <w:r w:rsidRPr="004C738A">
        <w:rPr>
          <w:rFonts w:ascii="Times New Roman" w:hAnsi="Times New Roman"/>
          <w:sz w:val="24"/>
          <w:szCs w:val="24"/>
        </w:rPr>
        <w:t xml:space="preserve">der Sejm eine Novelle </w:t>
      </w:r>
      <w:r w:rsidR="00E5497D" w:rsidRPr="004C738A">
        <w:rPr>
          <w:rFonts w:ascii="Times New Roman" w:hAnsi="Times New Roman"/>
          <w:sz w:val="24"/>
          <w:szCs w:val="24"/>
        </w:rPr>
        <w:t>des Gesetzes über den Verfassungsgerichtshof</w:t>
      </w:r>
      <w:r w:rsidRPr="004C738A">
        <w:rPr>
          <w:rFonts w:ascii="Times New Roman" w:hAnsi="Times New Roman"/>
          <w:sz w:val="24"/>
          <w:szCs w:val="24"/>
        </w:rPr>
        <w:t xml:space="preserve">, in der </w:t>
      </w:r>
      <w:r w:rsidR="00E5497D" w:rsidRPr="004C738A">
        <w:rPr>
          <w:rFonts w:ascii="Times New Roman" w:hAnsi="Times New Roman"/>
          <w:sz w:val="24"/>
          <w:szCs w:val="24"/>
        </w:rPr>
        <w:t xml:space="preserve">seine </w:t>
      </w:r>
      <w:r w:rsidRPr="004C738A">
        <w:rPr>
          <w:rFonts w:ascii="Times New Roman" w:hAnsi="Times New Roman"/>
          <w:sz w:val="24"/>
          <w:szCs w:val="24"/>
        </w:rPr>
        <w:t>Beschlussfähigkeit auf 13 (statt bisher 9) Richter festg</w:t>
      </w:r>
      <w:r w:rsidRPr="004C738A">
        <w:rPr>
          <w:rFonts w:ascii="Times New Roman" w:hAnsi="Times New Roman"/>
          <w:sz w:val="24"/>
          <w:szCs w:val="24"/>
        </w:rPr>
        <w:t>e</w:t>
      </w:r>
      <w:r w:rsidRPr="004C738A">
        <w:rPr>
          <w:rFonts w:ascii="Times New Roman" w:hAnsi="Times New Roman"/>
          <w:sz w:val="24"/>
          <w:szCs w:val="24"/>
        </w:rPr>
        <w:t xml:space="preserve">setzt und zur </w:t>
      </w:r>
      <w:r w:rsidR="00E5497D" w:rsidRPr="004C738A">
        <w:rPr>
          <w:rFonts w:ascii="Times New Roman" w:hAnsi="Times New Roman"/>
          <w:sz w:val="24"/>
          <w:szCs w:val="24"/>
        </w:rPr>
        <w:t>W</w:t>
      </w:r>
      <w:r w:rsidRPr="004C738A">
        <w:rPr>
          <w:rFonts w:ascii="Times New Roman" w:hAnsi="Times New Roman"/>
          <w:sz w:val="24"/>
          <w:szCs w:val="24"/>
        </w:rPr>
        <w:t>irksamkeit einer Entscheidung eine Zweidrittelmehrheit der anwesenden Ric</w:t>
      </w:r>
      <w:r w:rsidRPr="004C738A">
        <w:rPr>
          <w:rFonts w:ascii="Times New Roman" w:hAnsi="Times New Roman"/>
          <w:sz w:val="24"/>
          <w:szCs w:val="24"/>
        </w:rPr>
        <w:t>h</w:t>
      </w:r>
      <w:r w:rsidRPr="004C738A">
        <w:rPr>
          <w:rFonts w:ascii="Times New Roman" w:hAnsi="Times New Roman"/>
          <w:sz w:val="24"/>
          <w:szCs w:val="24"/>
        </w:rPr>
        <w:t xml:space="preserve">ter (statt wie bisher eine einfache Mehrheit) </w:t>
      </w:r>
      <w:r w:rsidR="00E5497D" w:rsidRPr="004C738A">
        <w:rPr>
          <w:rFonts w:ascii="Times New Roman" w:hAnsi="Times New Roman"/>
          <w:sz w:val="24"/>
          <w:szCs w:val="24"/>
        </w:rPr>
        <w:t xml:space="preserve">gefordert </w:t>
      </w:r>
      <w:r w:rsidRPr="004C738A">
        <w:rPr>
          <w:rFonts w:ascii="Times New Roman" w:hAnsi="Times New Roman"/>
          <w:sz w:val="24"/>
          <w:szCs w:val="24"/>
        </w:rPr>
        <w:t xml:space="preserve">wurde. </w:t>
      </w:r>
      <w:r w:rsidR="00E5497D" w:rsidRPr="004C738A">
        <w:rPr>
          <w:rFonts w:ascii="Times New Roman" w:hAnsi="Times New Roman"/>
          <w:sz w:val="24"/>
          <w:szCs w:val="24"/>
        </w:rPr>
        <w:t xml:space="preserve">Zugleich wurde bestimmt, dass die </w:t>
      </w:r>
      <w:r w:rsidRPr="004C738A">
        <w:rPr>
          <w:rFonts w:ascii="Times New Roman" w:hAnsi="Times New Roman"/>
          <w:sz w:val="24"/>
          <w:szCs w:val="24"/>
        </w:rPr>
        <w:t>Abarbeitung</w:t>
      </w:r>
      <w:r w:rsidR="00E5497D" w:rsidRPr="004C738A">
        <w:rPr>
          <w:rFonts w:ascii="Times New Roman" w:hAnsi="Times New Roman"/>
          <w:sz w:val="24"/>
          <w:szCs w:val="24"/>
        </w:rPr>
        <w:t xml:space="preserve"> der eingehenden Fälle in </w:t>
      </w:r>
      <w:r w:rsidRPr="004C738A">
        <w:rPr>
          <w:rFonts w:ascii="Times New Roman" w:hAnsi="Times New Roman"/>
          <w:sz w:val="24"/>
          <w:szCs w:val="24"/>
        </w:rPr>
        <w:t>chronologisch</w:t>
      </w:r>
      <w:r w:rsidR="00E5497D" w:rsidRPr="004C738A">
        <w:rPr>
          <w:rFonts w:ascii="Times New Roman" w:hAnsi="Times New Roman"/>
          <w:sz w:val="24"/>
          <w:szCs w:val="24"/>
        </w:rPr>
        <w:t xml:space="preserve">er Reihenfolge </w:t>
      </w:r>
      <w:r w:rsidRPr="004C738A">
        <w:rPr>
          <w:rFonts w:ascii="Times New Roman" w:hAnsi="Times New Roman"/>
          <w:sz w:val="24"/>
          <w:szCs w:val="24"/>
        </w:rPr>
        <w:t>stattfinden</w:t>
      </w:r>
      <w:r w:rsidR="00E5497D" w:rsidRPr="004C738A">
        <w:rPr>
          <w:rFonts w:ascii="Times New Roman" w:hAnsi="Times New Roman"/>
          <w:sz w:val="24"/>
          <w:szCs w:val="24"/>
        </w:rPr>
        <w:t xml:space="preserve"> muss</w:t>
      </w:r>
      <w:r w:rsidRPr="004C738A">
        <w:rPr>
          <w:rFonts w:ascii="Times New Roman" w:hAnsi="Times New Roman"/>
          <w:sz w:val="24"/>
          <w:szCs w:val="24"/>
        </w:rPr>
        <w:t>, was</w:t>
      </w:r>
      <w:r w:rsidR="00E5497D" w:rsidRPr="004C738A">
        <w:rPr>
          <w:rFonts w:ascii="Times New Roman" w:hAnsi="Times New Roman"/>
          <w:sz w:val="24"/>
          <w:szCs w:val="24"/>
        </w:rPr>
        <w:t xml:space="preserve"> nicht nur</w:t>
      </w:r>
      <w:r w:rsidRPr="004C738A">
        <w:rPr>
          <w:rFonts w:ascii="Times New Roman" w:hAnsi="Times New Roman"/>
          <w:sz w:val="24"/>
          <w:szCs w:val="24"/>
        </w:rPr>
        <w:t xml:space="preserve"> die praktische Arbeit nachhaltig erschwert</w:t>
      </w:r>
      <w:r w:rsidR="00E5497D" w:rsidRPr="004C738A">
        <w:rPr>
          <w:rFonts w:ascii="Times New Roman" w:hAnsi="Times New Roman"/>
          <w:sz w:val="24"/>
          <w:szCs w:val="24"/>
        </w:rPr>
        <w:t xml:space="preserve"> und Schwerpunktsetzungen verhindert, </w:t>
      </w:r>
      <w:r w:rsidR="00E5497D" w:rsidRPr="004C738A">
        <w:rPr>
          <w:rFonts w:ascii="Times New Roman" w:hAnsi="Times New Roman"/>
          <w:sz w:val="24"/>
          <w:szCs w:val="24"/>
        </w:rPr>
        <w:lastRenderedPageBreak/>
        <w:t>sondern auch gewährleistet, dass eine Regierung während ihrer Amtszeit kaum noch mit einer Korrektur durch den Verfassungsgerichtshof rechnen muss</w:t>
      </w:r>
      <w:r w:rsidRPr="004C738A">
        <w:rPr>
          <w:rFonts w:ascii="Times New Roman" w:hAnsi="Times New Roman"/>
          <w:sz w:val="24"/>
          <w:szCs w:val="24"/>
        </w:rPr>
        <w:t xml:space="preserve">. </w:t>
      </w:r>
    </w:p>
    <w:p w:rsidR="00DC685E" w:rsidRPr="004C738A" w:rsidRDefault="00DC685E" w:rsidP="00DC685E">
      <w:pPr>
        <w:rPr>
          <w:rFonts w:ascii="Times New Roman" w:hAnsi="Times New Roman"/>
          <w:sz w:val="24"/>
          <w:szCs w:val="24"/>
        </w:rPr>
      </w:pPr>
    </w:p>
    <w:p w:rsidR="006D0400" w:rsidRPr="004C738A" w:rsidRDefault="00E5497D" w:rsidP="00DC685E">
      <w:pPr>
        <w:rPr>
          <w:rFonts w:ascii="Times New Roman" w:hAnsi="Times New Roman"/>
          <w:sz w:val="24"/>
          <w:szCs w:val="24"/>
        </w:rPr>
      </w:pPr>
      <w:r w:rsidRPr="004C738A">
        <w:rPr>
          <w:rFonts w:ascii="Times New Roman" w:hAnsi="Times New Roman"/>
          <w:sz w:val="24"/>
          <w:szCs w:val="24"/>
        </w:rPr>
        <w:t>Der Verfassungsgerichtshof hat diese Regelungen a</w:t>
      </w:r>
      <w:r w:rsidR="00DC685E" w:rsidRPr="004C738A">
        <w:rPr>
          <w:rFonts w:ascii="Times New Roman" w:hAnsi="Times New Roman"/>
          <w:sz w:val="24"/>
          <w:szCs w:val="24"/>
        </w:rPr>
        <w:t>m 9. März 2016 für verfassungswidrig</w:t>
      </w:r>
      <w:r w:rsidRPr="004C738A">
        <w:rPr>
          <w:rFonts w:ascii="Times New Roman" w:hAnsi="Times New Roman"/>
          <w:sz w:val="24"/>
          <w:szCs w:val="24"/>
        </w:rPr>
        <w:t xml:space="preserve"> erklärt</w:t>
      </w:r>
      <w:r w:rsidR="00DC685E" w:rsidRPr="004C738A">
        <w:rPr>
          <w:rFonts w:ascii="Times New Roman" w:hAnsi="Times New Roman"/>
          <w:sz w:val="24"/>
          <w:szCs w:val="24"/>
        </w:rPr>
        <w:t>. Die Regierung jedoch weigert sich, das Urteil</w:t>
      </w:r>
      <w:r w:rsidRPr="004C738A">
        <w:rPr>
          <w:rFonts w:ascii="Times New Roman" w:hAnsi="Times New Roman"/>
          <w:sz w:val="24"/>
          <w:szCs w:val="24"/>
        </w:rPr>
        <w:t xml:space="preserve"> – wie es Art. 190 Nr. </w:t>
      </w:r>
      <w:r w:rsidR="00954776">
        <w:rPr>
          <w:rFonts w:ascii="Times New Roman" w:hAnsi="Times New Roman"/>
          <w:sz w:val="24"/>
          <w:szCs w:val="24"/>
        </w:rPr>
        <w:t> </w:t>
      </w:r>
      <w:r w:rsidRPr="004C738A">
        <w:rPr>
          <w:rFonts w:ascii="Times New Roman" w:hAnsi="Times New Roman"/>
          <w:sz w:val="24"/>
          <w:szCs w:val="24"/>
        </w:rPr>
        <w:t>2 PolnVerf. vo</w:t>
      </w:r>
      <w:r w:rsidRPr="004C738A">
        <w:rPr>
          <w:rFonts w:ascii="Times New Roman" w:hAnsi="Times New Roman"/>
          <w:sz w:val="24"/>
          <w:szCs w:val="24"/>
        </w:rPr>
        <w:t>r</w:t>
      </w:r>
      <w:r w:rsidRPr="004C738A">
        <w:rPr>
          <w:rFonts w:ascii="Times New Roman" w:hAnsi="Times New Roman"/>
          <w:sz w:val="24"/>
          <w:szCs w:val="24"/>
        </w:rPr>
        <w:t xml:space="preserve">sieht </w:t>
      </w:r>
      <w:r w:rsidR="00954776">
        <w:rPr>
          <w:rFonts w:ascii="Times New Roman" w:hAnsi="Times New Roman"/>
          <w:sz w:val="24"/>
          <w:szCs w:val="24"/>
        </w:rPr>
        <w:t>–</w:t>
      </w:r>
      <w:r w:rsidR="00954776" w:rsidRPr="004C738A">
        <w:rPr>
          <w:rFonts w:ascii="Times New Roman" w:hAnsi="Times New Roman"/>
          <w:sz w:val="24"/>
          <w:szCs w:val="24"/>
        </w:rPr>
        <w:t xml:space="preserve"> </w:t>
      </w:r>
      <w:r w:rsidR="00DC685E" w:rsidRPr="004C738A">
        <w:rPr>
          <w:rFonts w:ascii="Times New Roman" w:hAnsi="Times New Roman"/>
          <w:sz w:val="24"/>
          <w:szCs w:val="24"/>
        </w:rPr>
        <w:t>zu veröffentlichen</w:t>
      </w:r>
      <w:r w:rsidRPr="004C738A">
        <w:rPr>
          <w:rFonts w:ascii="Times New Roman" w:hAnsi="Times New Roman"/>
          <w:sz w:val="24"/>
          <w:szCs w:val="24"/>
        </w:rPr>
        <w:t>. S</w:t>
      </w:r>
      <w:r w:rsidR="00DC685E" w:rsidRPr="004C738A">
        <w:rPr>
          <w:rFonts w:ascii="Times New Roman" w:hAnsi="Times New Roman"/>
          <w:sz w:val="24"/>
          <w:szCs w:val="24"/>
        </w:rPr>
        <w:t>eine Wirksamkeit</w:t>
      </w:r>
      <w:r w:rsidRPr="004C738A">
        <w:rPr>
          <w:rFonts w:ascii="Times New Roman" w:hAnsi="Times New Roman"/>
          <w:sz w:val="24"/>
          <w:szCs w:val="24"/>
        </w:rPr>
        <w:t xml:space="preserve"> ist daher</w:t>
      </w:r>
      <w:r w:rsidR="00DC685E" w:rsidRPr="004C738A">
        <w:rPr>
          <w:rFonts w:ascii="Times New Roman" w:hAnsi="Times New Roman"/>
          <w:sz w:val="24"/>
          <w:szCs w:val="24"/>
        </w:rPr>
        <w:t xml:space="preserve"> zweifelhaft</w:t>
      </w:r>
      <w:r w:rsidR="007E593B" w:rsidRPr="004C738A">
        <w:rPr>
          <w:rFonts w:ascii="Times New Roman" w:hAnsi="Times New Roman"/>
          <w:sz w:val="24"/>
          <w:szCs w:val="24"/>
        </w:rPr>
        <w:t>:</w:t>
      </w:r>
      <w:r w:rsidRPr="004C738A">
        <w:rPr>
          <w:rFonts w:ascii="Times New Roman" w:hAnsi="Times New Roman"/>
          <w:sz w:val="24"/>
          <w:szCs w:val="24"/>
        </w:rPr>
        <w:t xml:space="preserve"> </w:t>
      </w:r>
      <w:r w:rsidR="00954776">
        <w:rPr>
          <w:rFonts w:ascii="Times New Roman" w:hAnsi="Times New Roman"/>
          <w:sz w:val="24"/>
          <w:szCs w:val="24"/>
        </w:rPr>
        <w:t>W</w:t>
      </w:r>
      <w:r w:rsidR="00954776" w:rsidRPr="004C738A">
        <w:rPr>
          <w:rFonts w:ascii="Times New Roman" w:hAnsi="Times New Roman"/>
          <w:sz w:val="24"/>
          <w:szCs w:val="24"/>
        </w:rPr>
        <w:t xml:space="preserve">ährend </w:t>
      </w:r>
      <w:r w:rsidRPr="004C738A">
        <w:rPr>
          <w:rFonts w:ascii="Times New Roman" w:hAnsi="Times New Roman"/>
          <w:sz w:val="24"/>
          <w:szCs w:val="24"/>
        </w:rPr>
        <w:t xml:space="preserve">die Regierung das Urteil als „Nichtakt“ behandelt und seine Verkündung als private Zusammenkunft der Richter lächerlich zu machen versuchte, </w:t>
      </w:r>
      <w:r w:rsidR="0040586E" w:rsidRPr="004C738A">
        <w:rPr>
          <w:rFonts w:ascii="Times New Roman" w:hAnsi="Times New Roman"/>
          <w:sz w:val="24"/>
          <w:szCs w:val="24"/>
        </w:rPr>
        <w:t xml:space="preserve">scheinen die Fachgerichte den Entscheidungen des Verfassungsgerichtshofes weiterhin Folge zu leisten. Im Juli 2016 </w:t>
      </w:r>
      <w:r w:rsidR="00DC685E" w:rsidRPr="004C738A">
        <w:rPr>
          <w:rFonts w:ascii="Times New Roman" w:hAnsi="Times New Roman"/>
          <w:sz w:val="24"/>
          <w:szCs w:val="24"/>
        </w:rPr>
        <w:t xml:space="preserve">hat der Sejm </w:t>
      </w:r>
      <w:r w:rsidR="0040586E" w:rsidRPr="004C738A">
        <w:rPr>
          <w:rFonts w:ascii="Times New Roman" w:hAnsi="Times New Roman"/>
          <w:sz w:val="24"/>
          <w:szCs w:val="24"/>
        </w:rPr>
        <w:t xml:space="preserve">freilich </w:t>
      </w:r>
      <w:r w:rsidR="00DC685E" w:rsidRPr="004C738A">
        <w:rPr>
          <w:rFonts w:ascii="Times New Roman" w:hAnsi="Times New Roman"/>
          <w:sz w:val="24"/>
          <w:szCs w:val="24"/>
        </w:rPr>
        <w:t xml:space="preserve">ein weiteres Gesetz über den Verfassungsgerichtshof beschlossen, das der Regierung </w:t>
      </w:r>
      <w:r w:rsidR="00954776">
        <w:rPr>
          <w:rFonts w:ascii="Times New Roman" w:hAnsi="Times New Roman"/>
          <w:sz w:val="24"/>
          <w:szCs w:val="24"/>
        </w:rPr>
        <w:t>–</w:t>
      </w:r>
      <w:r w:rsidR="00954776" w:rsidRPr="004C738A">
        <w:rPr>
          <w:rFonts w:ascii="Times New Roman" w:hAnsi="Times New Roman"/>
          <w:sz w:val="24"/>
          <w:szCs w:val="24"/>
        </w:rPr>
        <w:t xml:space="preserve"> </w:t>
      </w:r>
      <w:r w:rsidR="00DC685E" w:rsidRPr="004C738A">
        <w:rPr>
          <w:rFonts w:ascii="Times New Roman" w:hAnsi="Times New Roman"/>
          <w:sz w:val="24"/>
          <w:szCs w:val="24"/>
        </w:rPr>
        <w:t>in klarem Widerspruch zu Art. 190 Nr</w:t>
      </w:r>
      <w:r w:rsidR="00954776" w:rsidRPr="004C738A">
        <w:rPr>
          <w:rFonts w:ascii="Times New Roman" w:hAnsi="Times New Roman"/>
          <w:sz w:val="24"/>
          <w:szCs w:val="24"/>
        </w:rPr>
        <w:t>.</w:t>
      </w:r>
      <w:r w:rsidR="00954776">
        <w:rPr>
          <w:rFonts w:ascii="Times New Roman" w:hAnsi="Times New Roman"/>
          <w:sz w:val="24"/>
          <w:szCs w:val="24"/>
        </w:rPr>
        <w:t> </w:t>
      </w:r>
      <w:r w:rsidR="00DC685E" w:rsidRPr="004C738A">
        <w:rPr>
          <w:rFonts w:ascii="Times New Roman" w:hAnsi="Times New Roman"/>
          <w:sz w:val="24"/>
          <w:szCs w:val="24"/>
        </w:rPr>
        <w:t xml:space="preserve">2 PolnVerf. </w:t>
      </w:r>
      <w:r w:rsidR="00954776">
        <w:rPr>
          <w:rFonts w:ascii="Times New Roman" w:hAnsi="Times New Roman"/>
          <w:sz w:val="24"/>
          <w:szCs w:val="24"/>
        </w:rPr>
        <w:t>–</w:t>
      </w:r>
      <w:r w:rsidR="00954776" w:rsidRPr="004C738A">
        <w:rPr>
          <w:rFonts w:ascii="Times New Roman" w:hAnsi="Times New Roman"/>
          <w:sz w:val="24"/>
          <w:szCs w:val="24"/>
        </w:rPr>
        <w:t xml:space="preserve"> </w:t>
      </w:r>
      <w:r w:rsidR="00DC685E" w:rsidRPr="004C738A">
        <w:rPr>
          <w:rFonts w:ascii="Times New Roman" w:hAnsi="Times New Roman"/>
          <w:sz w:val="24"/>
          <w:szCs w:val="24"/>
        </w:rPr>
        <w:t xml:space="preserve">ein </w:t>
      </w:r>
      <w:r w:rsidR="00DC685E" w:rsidRPr="004C738A">
        <w:rPr>
          <w:rFonts w:ascii="Times New Roman" w:hAnsi="Times New Roman"/>
          <w:i/>
          <w:sz w:val="24"/>
          <w:szCs w:val="24"/>
        </w:rPr>
        <w:t>Ermessen</w:t>
      </w:r>
      <w:r w:rsidR="00DC685E" w:rsidRPr="004C738A">
        <w:rPr>
          <w:rFonts w:ascii="Times New Roman" w:hAnsi="Times New Roman"/>
          <w:sz w:val="24"/>
          <w:szCs w:val="24"/>
        </w:rPr>
        <w:t xml:space="preserve"> hinsichtlich der Veröffentlichung von Entscheidungen des Verfassungsgerichtshofes einräumt.</w:t>
      </w:r>
      <w:r w:rsidR="00DC685E" w:rsidRPr="004C738A">
        <w:rPr>
          <w:rFonts w:ascii="Times New Roman" w:hAnsi="Times New Roman"/>
          <w:sz w:val="24"/>
          <w:szCs w:val="24"/>
          <w:vertAlign w:val="superscript"/>
        </w:rPr>
        <w:footnoteReference w:id="17"/>
      </w:r>
      <w:r w:rsidR="00DC685E" w:rsidRPr="004C738A">
        <w:rPr>
          <w:rFonts w:ascii="Times New Roman" w:hAnsi="Times New Roman"/>
          <w:sz w:val="24"/>
          <w:szCs w:val="24"/>
        </w:rPr>
        <w:t xml:space="preserve"> </w:t>
      </w:r>
      <w:r w:rsidR="0040586E" w:rsidRPr="004C738A">
        <w:rPr>
          <w:rFonts w:ascii="Times New Roman" w:hAnsi="Times New Roman"/>
          <w:sz w:val="24"/>
          <w:szCs w:val="24"/>
        </w:rPr>
        <w:t>Damit ist die Gewaltenteilung aufgehoben, weil die Exekutive darüber entscheidet, ob sie der Dritten Gewalt Raum lässt oder nicht.</w:t>
      </w:r>
    </w:p>
    <w:p w:rsidR="006D0400" w:rsidRPr="004C738A" w:rsidRDefault="006D0400" w:rsidP="006D0400">
      <w:pPr>
        <w:rPr>
          <w:rFonts w:ascii="Times New Roman" w:hAnsi="Times New Roman"/>
          <w:sz w:val="24"/>
          <w:szCs w:val="24"/>
        </w:rPr>
      </w:pPr>
    </w:p>
    <w:p w:rsidR="00DC685E" w:rsidRPr="004C738A" w:rsidRDefault="0040586E" w:rsidP="006D0400">
      <w:pPr>
        <w:rPr>
          <w:rFonts w:ascii="Times New Roman" w:hAnsi="Times New Roman"/>
          <w:sz w:val="24"/>
          <w:szCs w:val="24"/>
        </w:rPr>
      </w:pPr>
      <w:r w:rsidRPr="004C738A">
        <w:rPr>
          <w:rFonts w:ascii="Times New Roman" w:hAnsi="Times New Roman"/>
          <w:sz w:val="24"/>
          <w:szCs w:val="24"/>
        </w:rPr>
        <w:t xml:space="preserve">Wie brachial der Machtanspruch der Regierung gegenüber dem Verfassungsgerichtshof durchgesetzt wird, zeigt auch ein Blick auf die Personalpolitik der letzten zwei Jahre. </w:t>
      </w:r>
      <w:r w:rsidR="006D0400" w:rsidRPr="004C738A">
        <w:rPr>
          <w:rFonts w:ascii="Times New Roman" w:hAnsi="Times New Roman"/>
          <w:sz w:val="24"/>
          <w:szCs w:val="24"/>
        </w:rPr>
        <w:t xml:space="preserve">Drei noch vom alten </w:t>
      </w:r>
      <w:r w:rsidR="006D0400" w:rsidRPr="004C738A">
        <w:rPr>
          <w:rFonts w:ascii="Times New Roman" w:hAnsi="Times New Roman"/>
          <w:i/>
          <w:sz w:val="24"/>
          <w:szCs w:val="24"/>
        </w:rPr>
        <w:t>Sejm</w:t>
      </w:r>
      <w:r w:rsidR="006D0400" w:rsidRPr="004C738A">
        <w:rPr>
          <w:rFonts w:ascii="Times New Roman" w:hAnsi="Times New Roman"/>
          <w:sz w:val="24"/>
          <w:szCs w:val="24"/>
        </w:rPr>
        <w:t xml:space="preserve"> – verfassungsgemäß – gewählten Richtern verweigerte der </w:t>
      </w:r>
      <w:r w:rsidR="002B5DC7" w:rsidRPr="004C738A">
        <w:rPr>
          <w:rFonts w:ascii="Times New Roman" w:hAnsi="Times New Roman"/>
          <w:sz w:val="24"/>
          <w:szCs w:val="24"/>
        </w:rPr>
        <w:t xml:space="preserve">ebenfalls </w:t>
      </w:r>
      <w:r w:rsidR="006D0400" w:rsidRPr="004C738A">
        <w:rPr>
          <w:rFonts w:ascii="Times New Roman" w:hAnsi="Times New Roman"/>
          <w:sz w:val="24"/>
          <w:szCs w:val="24"/>
        </w:rPr>
        <w:t xml:space="preserve">von der PiS nominierte </w:t>
      </w:r>
      <w:r w:rsidR="002B5DC7" w:rsidRPr="004C738A">
        <w:rPr>
          <w:rFonts w:ascii="Times New Roman" w:hAnsi="Times New Roman"/>
          <w:sz w:val="24"/>
          <w:szCs w:val="24"/>
        </w:rPr>
        <w:t>Staatsp</w:t>
      </w:r>
      <w:r w:rsidR="006D0400" w:rsidRPr="004C738A">
        <w:rPr>
          <w:rFonts w:ascii="Times New Roman" w:hAnsi="Times New Roman"/>
          <w:sz w:val="24"/>
          <w:szCs w:val="24"/>
        </w:rPr>
        <w:t>räsident die Vereidigung, während er fünf durch das neue Parl</w:t>
      </w:r>
      <w:r w:rsidR="006D0400" w:rsidRPr="004C738A">
        <w:rPr>
          <w:rFonts w:ascii="Times New Roman" w:hAnsi="Times New Roman"/>
          <w:sz w:val="24"/>
          <w:szCs w:val="24"/>
        </w:rPr>
        <w:t>a</w:t>
      </w:r>
      <w:r w:rsidR="006D0400" w:rsidRPr="004C738A">
        <w:rPr>
          <w:rFonts w:ascii="Times New Roman" w:hAnsi="Times New Roman"/>
          <w:sz w:val="24"/>
          <w:szCs w:val="24"/>
        </w:rPr>
        <w:t>ment gewählte Richter umgehend ernannte.</w:t>
      </w:r>
      <w:r w:rsidR="006D0400" w:rsidRPr="004C738A">
        <w:rPr>
          <w:rStyle w:val="Funotenzeichen"/>
          <w:rFonts w:ascii="Times New Roman" w:hAnsi="Times New Roman" w:cs="Times New Roman"/>
          <w:sz w:val="24"/>
          <w:szCs w:val="24"/>
        </w:rPr>
        <w:footnoteReference w:id="18"/>
      </w:r>
      <w:r w:rsidR="006D0400" w:rsidRPr="004C738A">
        <w:rPr>
          <w:rFonts w:ascii="Times New Roman" w:hAnsi="Times New Roman"/>
          <w:sz w:val="24"/>
          <w:szCs w:val="24"/>
        </w:rPr>
        <w:t xml:space="preserve"> Dies geschah bei Nacht und Nebel, </w:t>
      </w:r>
      <w:r w:rsidR="002B5DC7" w:rsidRPr="004C738A">
        <w:rPr>
          <w:rFonts w:ascii="Times New Roman" w:hAnsi="Times New Roman"/>
          <w:sz w:val="24"/>
          <w:szCs w:val="24"/>
        </w:rPr>
        <w:t xml:space="preserve">konkret </w:t>
      </w:r>
      <w:r w:rsidR="006D0400" w:rsidRPr="004C738A">
        <w:rPr>
          <w:rFonts w:ascii="Times New Roman" w:hAnsi="Times New Roman"/>
          <w:sz w:val="24"/>
          <w:szCs w:val="24"/>
        </w:rPr>
        <w:t xml:space="preserve">um </w:t>
      </w:r>
      <w:r w:rsidR="002B5DC7" w:rsidRPr="004C738A">
        <w:rPr>
          <w:rFonts w:ascii="Times New Roman" w:hAnsi="Times New Roman"/>
          <w:sz w:val="24"/>
          <w:szCs w:val="24"/>
        </w:rPr>
        <w:t>0</w:t>
      </w:r>
      <w:r w:rsidR="006D0400" w:rsidRPr="004C738A">
        <w:rPr>
          <w:rFonts w:ascii="Times New Roman" w:hAnsi="Times New Roman"/>
          <w:sz w:val="24"/>
          <w:szCs w:val="24"/>
        </w:rPr>
        <w:t>1:30</w:t>
      </w:r>
      <w:r w:rsidR="00954776">
        <w:rPr>
          <w:rFonts w:ascii="Times New Roman" w:hAnsi="Times New Roman"/>
          <w:sz w:val="24"/>
          <w:szCs w:val="24"/>
        </w:rPr>
        <w:t xml:space="preserve"> Uhr</w:t>
      </w:r>
      <w:r w:rsidR="006D0400" w:rsidRPr="004C738A">
        <w:rPr>
          <w:rFonts w:ascii="Times New Roman" w:hAnsi="Times New Roman"/>
          <w:sz w:val="24"/>
          <w:szCs w:val="24"/>
        </w:rPr>
        <w:t>, und unter Missachtung einer entgegenstehenden einstweiligen Anordnung des Verfassungsgerichtshofs.</w:t>
      </w:r>
      <w:r w:rsidR="002B5DC7" w:rsidRPr="004C738A">
        <w:rPr>
          <w:rFonts w:ascii="Times New Roman" w:hAnsi="Times New Roman"/>
          <w:sz w:val="24"/>
          <w:szCs w:val="24"/>
        </w:rPr>
        <w:t xml:space="preserve"> Seither hat der Begriff der „</w:t>
      </w:r>
      <w:r w:rsidR="002B5DC7" w:rsidRPr="004C738A">
        <w:rPr>
          <w:rFonts w:ascii="Times New Roman" w:hAnsi="Times New Roman"/>
          <w:i/>
          <w:sz w:val="24"/>
          <w:szCs w:val="24"/>
        </w:rPr>
        <w:t>Midnight Judges</w:t>
      </w:r>
      <w:r w:rsidR="002B5DC7" w:rsidRPr="004C738A">
        <w:rPr>
          <w:rFonts w:ascii="Times New Roman" w:hAnsi="Times New Roman"/>
          <w:sz w:val="24"/>
          <w:szCs w:val="24"/>
        </w:rPr>
        <w:t>“</w:t>
      </w:r>
      <w:r w:rsidR="002B5DC7" w:rsidRPr="004C738A">
        <w:rPr>
          <w:rStyle w:val="Funotenzeichen"/>
          <w:rFonts w:ascii="Times New Roman" w:hAnsi="Times New Roman" w:cs="Times New Roman"/>
          <w:sz w:val="24"/>
          <w:szCs w:val="24"/>
        </w:rPr>
        <w:footnoteReference w:id="19"/>
      </w:r>
      <w:r w:rsidR="002B5DC7" w:rsidRPr="004C738A">
        <w:rPr>
          <w:rFonts w:ascii="Times New Roman" w:hAnsi="Times New Roman"/>
          <w:sz w:val="24"/>
          <w:szCs w:val="24"/>
        </w:rPr>
        <w:t xml:space="preserve"> auch seine europä</w:t>
      </w:r>
      <w:r w:rsidR="002B5DC7" w:rsidRPr="004C738A">
        <w:rPr>
          <w:rFonts w:ascii="Times New Roman" w:hAnsi="Times New Roman"/>
          <w:sz w:val="24"/>
          <w:szCs w:val="24"/>
        </w:rPr>
        <w:t>i</w:t>
      </w:r>
      <w:r w:rsidR="002B5DC7" w:rsidRPr="004C738A">
        <w:rPr>
          <w:rFonts w:ascii="Times New Roman" w:hAnsi="Times New Roman"/>
          <w:sz w:val="24"/>
          <w:szCs w:val="24"/>
        </w:rPr>
        <w:t>sche Variante.</w:t>
      </w:r>
      <w:r w:rsidR="006D0400" w:rsidRPr="004C738A">
        <w:rPr>
          <w:rFonts w:ascii="Times New Roman" w:hAnsi="Times New Roman"/>
          <w:sz w:val="24"/>
          <w:szCs w:val="24"/>
        </w:rPr>
        <w:t xml:space="preserve"> Dass drei dieser Richter nach der Entscheidung des Verfassungsgerichtshofs verfassungswidrig gewählt w</w:t>
      </w:r>
      <w:r w:rsidR="00DC685E" w:rsidRPr="004C738A">
        <w:rPr>
          <w:rFonts w:ascii="Times New Roman" w:hAnsi="Times New Roman"/>
          <w:sz w:val="24"/>
          <w:szCs w:val="24"/>
        </w:rPr>
        <w:t>o</w:t>
      </w:r>
      <w:r w:rsidR="006D0400" w:rsidRPr="004C738A">
        <w:rPr>
          <w:rFonts w:ascii="Times New Roman" w:hAnsi="Times New Roman"/>
          <w:sz w:val="24"/>
          <w:szCs w:val="24"/>
        </w:rPr>
        <w:t>rden</w:t>
      </w:r>
      <w:r w:rsidR="00DC685E" w:rsidRPr="004C738A">
        <w:rPr>
          <w:rFonts w:ascii="Times New Roman" w:hAnsi="Times New Roman"/>
          <w:sz w:val="24"/>
          <w:szCs w:val="24"/>
        </w:rPr>
        <w:t xml:space="preserve"> waren</w:t>
      </w:r>
      <w:r w:rsidR="006D0400" w:rsidRPr="004C738A">
        <w:rPr>
          <w:rFonts w:ascii="Times New Roman" w:hAnsi="Times New Roman"/>
          <w:sz w:val="24"/>
          <w:szCs w:val="24"/>
        </w:rPr>
        <w:t>, blieb nicht nur unbeachtet; der bis Ende 2016 a</w:t>
      </w:r>
      <w:r w:rsidR="006D0400" w:rsidRPr="004C738A">
        <w:rPr>
          <w:rFonts w:ascii="Times New Roman" w:hAnsi="Times New Roman"/>
          <w:sz w:val="24"/>
          <w:szCs w:val="24"/>
        </w:rPr>
        <w:t>m</w:t>
      </w:r>
      <w:r w:rsidR="006D0400" w:rsidRPr="004C738A">
        <w:rPr>
          <w:rFonts w:ascii="Times New Roman" w:hAnsi="Times New Roman"/>
          <w:sz w:val="24"/>
          <w:szCs w:val="24"/>
        </w:rPr>
        <w:t xml:space="preserve">tierende Präsident des </w:t>
      </w:r>
      <w:r w:rsidR="00DC685E" w:rsidRPr="004C738A">
        <w:rPr>
          <w:rFonts w:ascii="Times New Roman" w:hAnsi="Times New Roman"/>
          <w:sz w:val="24"/>
          <w:szCs w:val="24"/>
        </w:rPr>
        <w:t xml:space="preserve">polnischen </w:t>
      </w:r>
      <w:r w:rsidR="006D0400" w:rsidRPr="004C738A">
        <w:rPr>
          <w:rFonts w:ascii="Times New Roman" w:hAnsi="Times New Roman"/>
          <w:sz w:val="24"/>
          <w:szCs w:val="24"/>
        </w:rPr>
        <w:t xml:space="preserve">Verfassungsgerichtshofs, </w:t>
      </w:r>
      <w:r w:rsidR="006D0400" w:rsidRPr="004C738A">
        <w:rPr>
          <w:rFonts w:ascii="Times New Roman" w:hAnsi="Times New Roman"/>
          <w:i/>
          <w:sz w:val="24"/>
          <w:szCs w:val="24"/>
        </w:rPr>
        <w:t>Andrzej Rzeplínski</w:t>
      </w:r>
      <w:r w:rsidR="006D0400" w:rsidRPr="004C738A">
        <w:rPr>
          <w:rFonts w:ascii="Times New Roman" w:hAnsi="Times New Roman"/>
          <w:sz w:val="24"/>
          <w:szCs w:val="24"/>
        </w:rPr>
        <w:t xml:space="preserve">, wurde wegen angeblicher Behinderung der verfassungswidrig gewählten Richter </w:t>
      </w:r>
      <w:r w:rsidR="00DC685E" w:rsidRPr="004C738A">
        <w:rPr>
          <w:rFonts w:ascii="Times New Roman" w:hAnsi="Times New Roman"/>
          <w:sz w:val="24"/>
          <w:szCs w:val="24"/>
        </w:rPr>
        <w:t xml:space="preserve">sogar </w:t>
      </w:r>
      <w:r w:rsidR="006D0400" w:rsidRPr="004C738A">
        <w:rPr>
          <w:rFonts w:ascii="Times New Roman" w:hAnsi="Times New Roman"/>
          <w:sz w:val="24"/>
          <w:szCs w:val="24"/>
        </w:rPr>
        <w:t>mit einem Strafve</w:t>
      </w:r>
      <w:r w:rsidR="006D0400" w:rsidRPr="004C738A">
        <w:rPr>
          <w:rFonts w:ascii="Times New Roman" w:hAnsi="Times New Roman"/>
          <w:sz w:val="24"/>
          <w:szCs w:val="24"/>
        </w:rPr>
        <w:t>r</w:t>
      </w:r>
      <w:r w:rsidR="006D0400" w:rsidRPr="004C738A">
        <w:rPr>
          <w:rFonts w:ascii="Times New Roman" w:hAnsi="Times New Roman"/>
          <w:sz w:val="24"/>
          <w:szCs w:val="24"/>
        </w:rPr>
        <w:t>fahren überzogen.</w:t>
      </w:r>
      <w:r w:rsidR="006D0400" w:rsidRPr="004C738A">
        <w:rPr>
          <w:rStyle w:val="Funotenzeichen"/>
          <w:rFonts w:ascii="Times New Roman" w:hAnsi="Times New Roman" w:cs="Times New Roman"/>
          <w:sz w:val="24"/>
          <w:szCs w:val="24"/>
        </w:rPr>
        <w:footnoteReference w:id="20"/>
      </w:r>
      <w:r w:rsidR="006D0400" w:rsidRPr="004C738A">
        <w:rPr>
          <w:rFonts w:ascii="Times New Roman" w:hAnsi="Times New Roman"/>
          <w:sz w:val="24"/>
          <w:szCs w:val="24"/>
        </w:rPr>
        <w:t xml:space="preserve"> </w:t>
      </w:r>
    </w:p>
    <w:p w:rsidR="00DC685E" w:rsidRPr="004C738A" w:rsidRDefault="00DC685E" w:rsidP="006D0400">
      <w:pPr>
        <w:rPr>
          <w:rFonts w:ascii="Times New Roman" w:hAnsi="Times New Roman"/>
          <w:sz w:val="24"/>
          <w:szCs w:val="24"/>
        </w:rPr>
      </w:pPr>
    </w:p>
    <w:p w:rsidR="006D0400" w:rsidRPr="004C738A" w:rsidRDefault="006D0400" w:rsidP="006D0400">
      <w:pPr>
        <w:rPr>
          <w:rFonts w:ascii="Times New Roman" w:hAnsi="Times New Roman"/>
          <w:sz w:val="24"/>
          <w:szCs w:val="24"/>
        </w:rPr>
      </w:pPr>
      <w:r w:rsidRPr="004C738A">
        <w:rPr>
          <w:rFonts w:ascii="Times New Roman" w:hAnsi="Times New Roman"/>
          <w:sz w:val="24"/>
          <w:szCs w:val="24"/>
        </w:rPr>
        <w:t>Auch das Verfahren für die Wahl seine</w:t>
      </w:r>
      <w:r w:rsidR="00DC685E" w:rsidRPr="004C738A">
        <w:rPr>
          <w:rFonts w:ascii="Times New Roman" w:hAnsi="Times New Roman"/>
          <w:sz w:val="24"/>
          <w:szCs w:val="24"/>
        </w:rPr>
        <w:t>r</w:t>
      </w:r>
      <w:r w:rsidRPr="004C738A">
        <w:rPr>
          <w:rFonts w:ascii="Times New Roman" w:hAnsi="Times New Roman"/>
          <w:sz w:val="24"/>
          <w:szCs w:val="24"/>
        </w:rPr>
        <w:t xml:space="preserve"> Nachfolger</w:t>
      </w:r>
      <w:r w:rsidR="00DC685E" w:rsidRPr="004C738A">
        <w:rPr>
          <w:rFonts w:ascii="Times New Roman" w:hAnsi="Times New Roman"/>
          <w:sz w:val="24"/>
          <w:szCs w:val="24"/>
        </w:rPr>
        <w:t>in</w:t>
      </w:r>
      <w:r w:rsidRPr="004C738A">
        <w:rPr>
          <w:rFonts w:ascii="Times New Roman" w:hAnsi="Times New Roman"/>
          <w:sz w:val="24"/>
          <w:szCs w:val="24"/>
        </w:rPr>
        <w:t xml:space="preserve"> </w:t>
      </w:r>
      <w:r w:rsidR="00DC685E" w:rsidRPr="004C738A">
        <w:rPr>
          <w:rFonts w:ascii="Times New Roman" w:hAnsi="Times New Roman"/>
          <w:sz w:val="24"/>
          <w:szCs w:val="24"/>
        </w:rPr>
        <w:t>gleicht</w:t>
      </w:r>
      <w:r w:rsidRPr="004C738A">
        <w:rPr>
          <w:rFonts w:ascii="Times New Roman" w:hAnsi="Times New Roman"/>
          <w:sz w:val="24"/>
          <w:szCs w:val="24"/>
        </w:rPr>
        <w:t xml:space="preserve"> eher einem Shakespeare´schen Drama als einem rechtsstaatlichen Verfahrensablauf. </w:t>
      </w:r>
      <w:r w:rsidR="00DC685E" w:rsidRPr="004C738A">
        <w:rPr>
          <w:rFonts w:ascii="Times New Roman" w:hAnsi="Times New Roman"/>
          <w:sz w:val="24"/>
          <w:szCs w:val="24"/>
        </w:rPr>
        <w:t xml:space="preserve">So </w:t>
      </w:r>
      <w:r w:rsidRPr="004C738A">
        <w:rPr>
          <w:rFonts w:ascii="Times New Roman" w:hAnsi="Times New Roman"/>
          <w:sz w:val="24"/>
          <w:szCs w:val="24"/>
        </w:rPr>
        <w:t xml:space="preserve">wurde </w:t>
      </w:r>
      <w:r w:rsidRPr="004C738A">
        <w:rPr>
          <w:rFonts w:ascii="Times New Roman" w:hAnsi="Times New Roman"/>
          <w:i/>
          <w:sz w:val="24"/>
          <w:szCs w:val="24"/>
        </w:rPr>
        <w:t>Julia Przyłębska</w:t>
      </w:r>
      <w:r w:rsidRPr="004C738A">
        <w:rPr>
          <w:rFonts w:ascii="Times New Roman" w:hAnsi="Times New Roman"/>
          <w:sz w:val="24"/>
          <w:szCs w:val="24"/>
        </w:rPr>
        <w:t xml:space="preserve">, die Ehefrau </w:t>
      </w:r>
      <w:r w:rsidRPr="004C738A">
        <w:rPr>
          <w:rFonts w:ascii="Times New Roman" w:hAnsi="Times New Roman"/>
          <w:sz w:val="24"/>
          <w:szCs w:val="24"/>
        </w:rPr>
        <w:lastRenderedPageBreak/>
        <w:t>de</w:t>
      </w:r>
      <w:r w:rsidR="002D07EA" w:rsidRPr="004C738A">
        <w:rPr>
          <w:rFonts w:ascii="Times New Roman" w:hAnsi="Times New Roman"/>
          <w:sz w:val="24"/>
          <w:szCs w:val="24"/>
        </w:rPr>
        <w:t>s</w:t>
      </w:r>
      <w:r w:rsidRPr="004C738A">
        <w:rPr>
          <w:rFonts w:ascii="Times New Roman" w:hAnsi="Times New Roman"/>
          <w:sz w:val="24"/>
          <w:szCs w:val="24"/>
        </w:rPr>
        <w:t xml:space="preserve"> polnischen Botschafters in Berlin </w:t>
      </w:r>
      <w:r w:rsidR="00DC685E" w:rsidRPr="004C738A">
        <w:rPr>
          <w:rFonts w:ascii="Times New Roman" w:hAnsi="Times New Roman"/>
          <w:sz w:val="24"/>
          <w:szCs w:val="24"/>
        </w:rPr>
        <w:t xml:space="preserve">und treue Anhängerin der Regierung, am 21. Dezember 2016 </w:t>
      </w:r>
      <w:r w:rsidRPr="004C738A">
        <w:rPr>
          <w:rFonts w:ascii="Times New Roman" w:hAnsi="Times New Roman"/>
          <w:sz w:val="24"/>
          <w:szCs w:val="24"/>
        </w:rPr>
        <w:t xml:space="preserve">vom Staatspräsidenten zur Vorsitzenden des Verfassungsgerichtshofes berufen, obwohl sie nicht </w:t>
      </w:r>
      <w:r w:rsidR="00DC685E" w:rsidRPr="004C738A">
        <w:rPr>
          <w:rFonts w:ascii="Times New Roman" w:hAnsi="Times New Roman"/>
          <w:sz w:val="24"/>
          <w:szCs w:val="24"/>
        </w:rPr>
        <w:t xml:space="preserve">– wie eigentlich vorgesehen </w:t>
      </w:r>
      <w:r w:rsidR="00954776">
        <w:rPr>
          <w:rFonts w:ascii="Times New Roman" w:hAnsi="Times New Roman"/>
          <w:sz w:val="24"/>
          <w:szCs w:val="24"/>
        </w:rPr>
        <w:t>–</w:t>
      </w:r>
      <w:r w:rsidR="00954776" w:rsidRPr="004C738A">
        <w:rPr>
          <w:rFonts w:ascii="Times New Roman" w:hAnsi="Times New Roman"/>
          <w:sz w:val="24"/>
          <w:szCs w:val="24"/>
        </w:rPr>
        <w:t xml:space="preserve"> </w:t>
      </w:r>
      <w:r w:rsidRPr="004C738A">
        <w:rPr>
          <w:rFonts w:ascii="Times New Roman" w:hAnsi="Times New Roman"/>
          <w:sz w:val="24"/>
          <w:szCs w:val="24"/>
        </w:rPr>
        <w:t xml:space="preserve">von der Mehrheit der Richter vorgeschlagen worden war. </w:t>
      </w:r>
      <w:r w:rsidR="0040586E" w:rsidRPr="004C738A">
        <w:rPr>
          <w:rFonts w:ascii="Times New Roman" w:hAnsi="Times New Roman"/>
          <w:sz w:val="24"/>
          <w:szCs w:val="24"/>
        </w:rPr>
        <w:t xml:space="preserve">Nimmt man hinzu, dass der Vizepräsident des Verfassungsgerichtshofes </w:t>
      </w:r>
      <w:r w:rsidR="0040586E" w:rsidRPr="004C738A">
        <w:rPr>
          <w:rFonts w:ascii="Times New Roman" w:hAnsi="Times New Roman"/>
          <w:i/>
          <w:sz w:val="24"/>
          <w:szCs w:val="24"/>
        </w:rPr>
        <w:t>Stanisław Bie</w:t>
      </w:r>
      <w:r w:rsidR="0040586E" w:rsidRPr="004C738A">
        <w:rPr>
          <w:rFonts w:ascii="Times New Roman" w:hAnsi="Times New Roman"/>
          <w:i/>
          <w:sz w:val="24"/>
          <w:szCs w:val="24"/>
        </w:rPr>
        <w:t>r</w:t>
      </w:r>
      <w:r w:rsidR="0040586E" w:rsidRPr="004C738A">
        <w:rPr>
          <w:rFonts w:ascii="Times New Roman" w:hAnsi="Times New Roman"/>
          <w:i/>
          <w:sz w:val="24"/>
          <w:szCs w:val="24"/>
        </w:rPr>
        <w:t>nat</w:t>
      </w:r>
      <w:r w:rsidR="0040586E" w:rsidRPr="004C738A">
        <w:rPr>
          <w:rFonts w:ascii="Times New Roman" w:hAnsi="Times New Roman"/>
          <w:sz w:val="24"/>
          <w:szCs w:val="24"/>
        </w:rPr>
        <w:t xml:space="preserve"> mit dienstrechtlichen Tricks bis zum Ende seines Mandats in eine Art Zwangsurlaub g</w:t>
      </w:r>
      <w:r w:rsidR="0040586E" w:rsidRPr="004C738A">
        <w:rPr>
          <w:rFonts w:ascii="Times New Roman" w:hAnsi="Times New Roman"/>
          <w:sz w:val="24"/>
          <w:szCs w:val="24"/>
        </w:rPr>
        <w:t>e</w:t>
      </w:r>
      <w:r w:rsidR="0040586E" w:rsidRPr="004C738A">
        <w:rPr>
          <w:rFonts w:ascii="Times New Roman" w:hAnsi="Times New Roman"/>
          <w:sz w:val="24"/>
          <w:szCs w:val="24"/>
        </w:rPr>
        <w:t xml:space="preserve">schickt worden ist, so </w:t>
      </w:r>
      <w:r w:rsidRPr="004C738A">
        <w:rPr>
          <w:rFonts w:ascii="Times New Roman" w:hAnsi="Times New Roman"/>
          <w:sz w:val="24"/>
          <w:szCs w:val="24"/>
        </w:rPr>
        <w:t>ist die Neutralisierung des Verfassungsgerichtshofes weitgehend gelu</w:t>
      </w:r>
      <w:r w:rsidRPr="004C738A">
        <w:rPr>
          <w:rFonts w:ascii="Times New Roman" w:hAnsi="Times New Roman"/>
          <w:sz w:val="24"/>
          <w:szCs w:val="24"/>
        </w:rPr>
        <w:t>n</w:t>
      </w:r>
      <w:r w:rsidRPr="004C738A">
        <w:rPr>
          <w:rFonts w:ascii="Times New Roman" w:hAnsi="Times New Roman"/>
          <w:sz w:val="24"/>
          <w:szCs w:val="24"/>
        </w:rPr>
        <w:t>gen.</w:t>
      </w:r>
    </w:p>
    <w:p w:rsidR="0040586E" w:rsidRPr="004C738A" w:rsidRDefault="0040586E" w:rsidP="006D0400">
      <w:pPr>
        <w:rPr>
          <w:rFonts w:ascii="Times New Roman" w:hAnsi="Times New Roman"/>
          <w:sz w:val="24"/>
          <w:szCs w:val="24"/>
        </w:rPr>
      </w:pPr>
    </w:p>
    <w:p w:rsidR="006D0400" w:rsidRPr="004C738A" w:rsidRDefault="0040586E" w:rsidP="006D0400">
      <w:pPr>
        <w:rPr>
          <w:rFonts w:ascii="Times New Roman" w:hAnsi="Times New Roman"/>
          <w:sz w:val="24"/>
          <w:szCs w:val="24"/>
        </w:rPr>
      </w:pPr>
      <w:r w:rsidRPr="004C738A">
        <w:rPr>
          <w:rFonts w:ascii="Times New Roman" w:hAnsi="Times New Roman"/>
          <w:sz w:val="24"/>
          <w:szCs w:val="24"/>
        </w:rPr>
        <w:t>Dass die Neutralisierung des Verfassungsgerichtshofs freilich nur der erste Schritt auf dem Weg zu einer völligen Gleichschaltung der Justiz sein soll, zeigen die aktuellen Auseinande</w:t>
      </w:r>
      <w:r w:rsidRPr="004C738A">
        <w:rPr>
          <w:rFonts w:ascii="Times New Roman" w:hAnsi="Times New Roman"/>
          <w:sz w:val="24"/>
          <w:szCs w:val="24"/>
        </w:rPr>
        <w:t>r</w:t>
      </w:r>
      <w:r w:rsidRPr="004C738A">
        <w:rPr>
          <w:rFonts w:ascii="Times New Roman" w:hAnsi="Times New Roman"/>
          <w:sz w:val="24"/>
          <w:szCs w:val="24"/>
        </w:rPr>
        <w:t xml:space="preserve">setzungen um den Landesrat für das Gerichtswesen (Art. </w:t>
      </w:r>
      <w:r w:rsidR="00954776" w:rsidRPr="004C738A">
        <w:rPr>
          <w:rFonts w:ascii="Times New Roman" w:hAnsi="Times New Roman"/>
          <w:sz w:val="24"/>
          <w:szCs w:val="24"/>
        </w:rPr>
        <w:t>186</w:t>
      </w:r>
      <w:r w:rsidR="00954776">
        <w:rPr>
          <w:rFonts w:ascii="Times New Roman" w:hAnsi="Times New Roman"/>
          <w:sz w:val="24"/>
          <w:szCs w:val="24"/>
        </w:rPr>
        <w:t> </w:t>
      </w:r>
      <w:r w:rsidRPr="004C738A">
        <w:rPr>
          <w:rFonts w:ascii="Times New Roman" w:hAnsi="Times New Roman"/>
          <w:sz w:val="24"/>
          <w:szCs w:val="24"/>
        </w:rPr>
        <w:t>f. PolnVerf.) und seine Schlü</w:t>
      </w:r>
      <w:r w:rsidRPr="004C738A">
        <w:rPr>
          <w:rFonts w:ascii="Times New Roman" w:hAnsi="Times New Roman"/>
          <w:sz w:val="24"/>
          <w:szCs w:val="24"/>
        </w:rPr>
        <w:t>s</w:t>
      </w:r>
      <w:r w:rsidRPr="004C738A">
        <w:rPr>
          <w:rFonts w:ascii="Times New Roman" w:hAnsi="Times New Roman"/>
          <w:sz w:val="24"/>
          <w:szCs w:val="24"/>
        </w:rPr>
        <w:t>selstellung bei der Auswahl der Richter</w:t>
      </w:r>
      <w:r w:rsidR="006932B9" w:rsidRPr="004C738A">
        <w:rPr>
          <w:rFonts w:ascii="Times New Roman" w:hAnsi="Times New Roman"/>
          <w:sz w:val="24"/>
          <w:szCs w:val="24"/>
        </w:rPr>
        <w:t xml:space="preserve"> (Art. 179 PolnVerf.), die die Regierung ebenfalls u</w:t>
      </w:r>
      <w:r w:rsidR="006932B9" w:rsidRPr="004C738A">
        <w:rPr>
          <w:rFonts w:ascii="Times New Roman" w:hAnsi="Times New Roman"/>
          <w:sz w:val="24"/>
          <w:szCs w:val="24"/>
        </w:rPr>
        <w:t>n</w:t>
      </w:r>
      <w:r w:rsidR="006932B9" w:rsidRPr="004C738A">
        <w:rPr>
          <w:rFonts w:ascii="Times New Roman" w:hAnsi="Times New Roman"/>
          <w:sz w:val="24"/>
          <w:szCs w:val="24"/>
        </w:rPr>
        <w:t>ter ihre Kontrolle bringen will. Missliebige Richter will sie im Widerspruch zu Art. 180 Nr</w:t>
      </w:r>
      <w:r w:rsidR="00954776" w:rsidRPr="004C738A">
        <w:rPr>
          <w:rFonts w:ascii="Times New Roman" w:hAnsi="Times New Roman"/>
          <w:sz w:val="24"/>
          <w:szCs w:val="24"/>
        </w:rPr>
        <w:t>.</w:t>
      </w:r>
      <w:r w:rsidR="00954776">
        <w:rPr>
          <w:rFonts w:ascii="Times New Roman" w:hAnsi="Times New Roman"/>
          <w:sz w:val="24"/>
          <w:szCs w:val="24"/>
        </w:rPr>
        <w:t> </w:t>
      </w:r>
      <w:r w:rsidR="006932B9" w:rsidRPr="004C738A">
        <w:rPr>
          <w:rFonts w:ascii="Times New Roman" w:hAnsi="Times New Roman"/>
          <w:sz w:val="24"/>
          <w:szCs w:val="24"/>
        </w:rPr>
        <w:t>1 PolnVerf. zudem entlassen bzw. in den vorzeitigen Ruhestand schicken.</w:t>
      </w:r>
      <w:r w:rsidR="006932B9" w:rsidRPr="004C738A">
        <w:rPr>
          <w:rStyle w:val="Funotenzeichen"/>
          <w:rFonts w:ascii="Times New Roman" w:hAnsi="Times New Roman" w:cs="Times New Roman"/>
          <w:sz w:val="24"/>
          <w:szCs w:val="24"/>
        </w:rPr>
        <w:footnoteReference w:id="21"/>
      </w:r>
      <w:r w:rsidR="006D0400" w:rsidRPr="004C738A">
        <w:rPr>
          <w:rFonts w:ascii="Times New Roman" w:hAnsi="Times New Roman"/>
          <w:sz w:val="24"/>
          <w:szCs w:val="24"/>
        </w:rPr>
        <w:t xml:space="preserve"> </w:t>
      </w:r>
    </w:p>
    <w:p w:rsidR="006D0400" w:rsidRPr="004C738A" w:rsidRDefault="006D0400" w:rsidP="006D0400">
      <w:pPr>
        <w:rPr>
          <w:rFonts w:ascii="Times New Roman" w:hAnsi="Times New Roman"/>
          <w:sz w:val="24"/>
          <w:szCs w:val="24"/>
        </w:rPr>
      </w:pPr>
    </w:p>
    <w:p w:rsidR="006D0400" w:rsidRPr="004C738A" w:rsidRDefault="006932B9" w:rsidP="001E6723">
      <w:pPr>
        <w:pStyle w:val="berschrift4"/>
        <w:jc w:val="center"/>
        <w:rPr>
          <w:rFonts w:ascii="Times New Roman" w:hAnsi="Times New Roman" w:cs="Times New Roman"/>
          <w:sz w:val="24"/>
          <w:szCs w:val="24"/>
        </w:rPr>
      </w:pPr>
      <w:bookmarkStart w:id="5" w:name="_Toc498362300"/>
      <w:r w:rsidRPr="004C738A">
        <w:rPr>
          <w:rFonts w:ascii="Times New Roman" w:hAnsi="Times New Roman" w:cs="Times New Roman"/>
          <w:sz w:val="24"/>
          <w:szCs w:val="24"/>
        </w:rPr>
        <w:t>b) Reaktionen</w:t>
      </w:r>
      <w:bookmarkEnd w:id="5"/>
    </w:p>
    <w:p w:rsidR="00C33E99" w:rsidRPr="004C738A" w:rsidRDefault="006932B9" w:rsidP="006D0400">
      <w:pPr>
        <w:rPr>
          <w:rFonts w:ascii="Times New Roman" w:hAnsi="Times New Roman"/>
          <w:sz w:val="24"/>
          <w:szCs w:val="24"/>
        </w:rPr>
      </w:pPr>
      <w:r w:rsidRPr="004C738A">
        <w:rPr>
          <w:rFonts w:ascii="Times New Roman" w:hAnsi="Times New Roman"/>
          <w:sz w:val="24"/>
          <w:szCs w:val="24"/>
        </w:rPr>
        <w:t>Weite Teile der</w:t>
      </w:r>
      <w:r w:rsidR="006D0400" w:rsidRPr="004C738A">
        <w:rPr>
          <w:rFonts w:ascii="Times New Roman" w:hAnsi="Times New Roman"/>
          <w:sz w:val="24"/>
          <w:szCs w:val="24"/>
        </w:rPr>
        <w:t xml:space="preserve"> polnische</w:t>
      </w:r>
      <w:r w:rsidRPr="004C738A">
        <w:rPr>
          <w:rFonts w:ascii="Times New Roman" w:hAnsi="Times New Roman"/>
          <w:sz w:val="24"/>
          <w:szCs w:val="24"/>
        </w:rPr>
        <w:t>n</w:t>
      </w:r>
      <w:r w:rsidR="006D0400" w:rsidRPr="004C738A">
        <w:rPr>
          <w:rFonts w:ascii="Times New Roman" w:hAnsi="Times New Roman"/>
          <w:sz w:val="24"/>
          <w:szCs w:val="24"/>
        </w:rPr>
        <w:t xml:space="preserve"> Zivilgesellschaft ha</w:t>
      </w:r>
      <w:r w:rsidRPr="004C738A">
        <w:rPr>
          <w:rFonts w:ascii="Times New Roman" w:hAnsi="Times New Roman"/>
          <w:sz w:val="24"/>
          <w:szCs w:val="24"/>
        </w:rPr>
        <w:t>ben</w:t>
      </w:r>
      <w:r w:rsidR="006D0400" w:rsidRPr="004C738A">
        <w:rPr>
          <w:rFonts w:ascii="Times New Roman" w:hAnsi="Times New Roman"/>
          <w:sz w:val="24"/>
          <w:szCs w:val="24"/>
        </w:rPr>
        <w:t xml:space="preserve"> sich dieser Entwicklung </w:t>
      </w:r>
      <w:r w:rsidRPr="004C738A">
        <w:rPr>
          <w:rFonts w:ascii="Times New Roman" w:hAnsi="Times New Roman"/>
          <w:sz w:val="24"/>
          <w:szCs w:val="24"/>
        </w:rPr>
        <w:t xml:space="preserve">von </w:t>
      </w:r>
      <w:r w:rsidR="006D0400" w:rsidRPr="004C738A">
        <w:rPr>
          <w:rFonts w:ascii="Times New Roman" w:hAnsi="Times New Roman"/>
          <w:sz w:val="24"/>
          <w:szCs w:val="24"/>
        </w:rPr>
        <w:t>Beginn</w:t>
      </w:r>
      <w:r w:rsidRPr="004C738A">
        <w:rPr>
          <w:rFonts w:ascii="Times New Roman" w:hAnsi="Times New Roman"/>
          <w:sz w:val="24"/>
          <w:szCs w:val="24"/>
        </w:rPr>
        <w:t xml:space="preserve"> an</w:t>
      </w:r>
      <w:r w:rsidR="006D0400" w:rsidRPr="004C738A">
        <w:rPr>
          <w:rFonts w:ascii="Times New Roman" w:hAnsi="Times New Roman"/>
          <w:sz w:val="24"/>
          <w:szCs w:val="24"/>
        </w:rPr>
        <w:t xml:space="preserve"> entgegengestellt. Im Dezember 2015 haben</w:t>
      </w:r>
      <w:r w:rsidRPr="004C738A">
        <w:rPr>
          <w:rFonts w:ascii="Times New Roman" w:hAnsi="Times New Roman"/>
          <w:sz w:val="24"/>
          <w:szCs w:val="24"/>
        </w:rPr>
        <w:t xml:space="preserve"> wiederholt</w:t>
      </w:r>
      <w:r w:rsidR="006D0400" w:rsidRPr="004C738A">
        <w:rPr>
          <w:rFonts w:ascii="Times New Roman" w:hAnsi="Times New Roman"/>
          <w:sz w:val="24"/>
          <w:szCs w:val="24"/>
        </w:rPr>
        <w:t xml:space="preserve"> 17.000 – 20.000 Bürger gegen die Ju</w:t>
      </w:r>
      <w:r w:rsidR="006D0400" w:rsidRPr="004C738A">
        <w:rPr>
          <w:rFonts w:ascii="Times New Roman" w:hAnsi="Times New Roman"/>
          <w:sz w:val="24"/>
          <w:szCs w:val="24"/>
        </w:rPr>
        <w:t>s</w:t>
      </w:r>
      <w:r w:rsidR="006D0400" w:rsidRPr="004C738A">
        <w:rPr>
          <w:rFonts w:ascii="Times New Roman" w:hAnsi="Times New Roman"/>
          <w:sz w:val="24"/>
          <w:szCs w:val="24"/>
        </w:rPr>
        <w:t xml:space="preserve">tizreform </w:t>
      </w:r>
      <w:r w:rsidR="00C33E99" w:rsidRPr="004C738A">
        <w:rPr>
          <w:rFonts w:ascii="Times New Roman" w:hAnsi="Times New Roman"/>
          <w:sz w:val="24"/>
          <w:szCs w:val="24"/>
        </w:rPr>
        <w:t>protestiert, auch derzeit finden immer wieder Massendemonstrationen gegen die Gleichschaltung der Dritten Gewalt statt.</w:t>
      </w:r>
      <w:r w:rsidR="00C33E99" w:rsidRPr="004C738A">
        <w:rPr>
          <w:rStyle w:val="Funotenzeichen"/>
          <w:rFonts w:ascii="Times New Roman" w:hAnsi="Times New Roman" w:cs="Times New Roman"/>
          <w:sz w:val="24"/>
          <w:szCs w:val="24"/>
        </w:rPr>
        <w:footnoteReference w:id="22"/>
      </w:r>
    </w:p>
    <w:p w:rsidR="00C33E99" w:rsidRPr="004C738A" w:rsidRDefault="00C33E99" w:rsidP="006D0400">
      <w:pPr>
        <w:rPr>
          <w:rFonts w:ascii="Times New Roman" w:hAnsi="Times New Roman"/>
          <w:sz w:val="24"/>
          <w:szCs w:val="24"/>
        </w:rPr>
      </w:pPr>
    </w:p>
    <w:p w:rsidR="00C33E99" w:rsidRPr="004C738A" w:rsidRDefault="006D0400" w:rsidP="00C33E99">
      <w:pPr>
        <w:rPr>
          <w:rFonts w:ascii="Times New Roman" w:hAnsi="Times New Roman"/>
          <w:sz w:val="24"/>
          <w:szCs w:val="24"/>
        </w:rPr>
      </w:pPr>
      <w:r w:rsidRPr="004C738A">
        <w:rPr>
          <w:rFonts w:ascii="Times New Roman" w:hAnsi="Times New Roman"/>
          <w:sz w:val="24"/>
          <w:szCs w:val="24"/>
        </w:rPr>
        <w:t xml:space="preserve">Auch die europäischen Organe </w:t>
      </w:r>
      <w:r w:rsidR="00C33E99" w:rsidRPr="004C738A">
        <w:rPr>
          <w:rFonts w:ascii="Times New Roman" w:hAnsi="Times New Roman"/>
          <w:sz w:val="24"/>
          <w:szCs w:val="24"/>
        </w:rPr>
        <w:t xml:space="preserve">versuchen </w:t>
      </w:r>
      <w:r w:rsidRPr="004C738A">
        <w:rPr>
          <w:rFonts w:ascii="Times New Roman" w:hAnsi="Times New Roman"/>
          <w:sz w:val="24"/>
          <w:szCs w:val="24"/>
        </w:rPr>
        <w:t xml:space="preserve">mäßigend auf Polen einzuwirken. </w:t>
      </w:r>
      <w:r w:rsidR="00C33E99" w:rsidRPr="004C738A">
        <w:rPr>
          <w:rFonts w:ascii="Times New Roman" w:hAnsi="Times New Roman"/>
          <w:sz w:val="24"/>
          <w:szCs w:val="24"/>
        </w:rPr>
        <w:t>Am 13. April 2016 verabschiedete das Europäische Parlament mit 513 Stimmen der christ- und soziald</w:t>
      </w:r>
      <w:r w:rsidR="00C33E99" w:rsidRPr="004C738A">
        <w:rPr>
          <w:rFonts w:ascii="Times New Roman" w:hAnsi="Times New Roman"/>
          <w:sz w:val="24"/>
          <w:szCs w:val="24"/>
        </w:rPr>
        <w:t>e</w:t>
      </w:r>
      <w:r w:rsidR="00C33E99" w:rsidRPr="004C738A">
        <w:rPr>
          <w:rFonts w:ascii="Times New Roman" w:hAnsi="Times New Roman"/>
          <w:sz w:val="24"/>
          <w:szCs w:val="24"/>
        </w:rPr>
        <w:t xml:space="preserve">mokratischen, linken, grünen und liberalen Fraktionen </w:t>
      </w:r>
      <w:r w:rsidR="00954776">
        <w:rPr>
          <w:rFonts w:ascii="Times New Roman" w:hAnsi="Times New Roman"/>
          <w:sz w:val="24"/>
          <w:szCs w:val="24"/>
        </w:rPr>
        <w:t>–</w:t>
      </w:r>
      <w:r w:rsidR="00954776" w:rsidRPr="004C738A">
        <w:rPr>
          <w:rFonts w:ascii="Times New Roman" w:hAnsi="Times New Roman"/>
          <w:sz w:val="24"/>
          <w:szCs w:val="24"/>
        </w:rPr>
        <w:t xml:space="preserve"> </w:t>
      </w:r>
      <w:r w:rsidR="00C33E99" w:rsidRPr="004C738A">
        <w:rPr>
          <w:rFonts w:ascii="Times New Roman" w:hAnsi="Times New Roman"/>
          <w:sz w:val="24"/>
          <w:szCs w:val="24"/>
        </w:rPr>
        <w:t>bei 142 Gegenstimmen und 30 En</w:t>
      </w:r>
      <w:r w:rsidR="00C33E99" w:rsidRPr="004C738A">
        <w:rPr>
          <w:rFonts w:ascii="Times New Roman" w:hAnsi="Times New Roman"/>
          <w:sz w:val="24"/>
          <w:szCs w:val="24"/>
        </w:rPr>
        <w:t>t</w:t>
      </w:r>
      <w:r w:rsidR="00C33E99" w:rsidRPr="004C738A">
        <w:rPr>
          <w:rFonts w:ascii="Times New Roman" w:hAnsi="Times New Roman"/>
          <w:sz w:val="24"/>
          <w:szCs w:val="24"/>
        </w:rPr>
        <w:t xml:space="preserve">haltungen </w:t>
      </w:r>
      <w:r w:rsidR="00954776">
        <w:rPr>
          <w:rFonts w:ascii="Times New Roman" w:hAnsi="Times New Roman"/>
          <w:sz w:val="24"/>
          <w:szCs w:val="24"/>
        </w:rPr>
        <w:t>–</w:t>
      </w:r>
      <w:r w:rsidR="00954776" w:rsidRPr="004C738A">
        <w:rPr>
          <w:rFonts w:ascii="Times New Roman" w:hAnsi="Times New Roman"/>
          <w:sz w:val="24"/>
          <w:szCs w:val="24"/>
        </w:rPr>
        <w:t xml:space="preserve"> </w:t>
      </w:r>
      <w:r w:rsidR="00C33E99" w:rsidRPr="004C738A">
        <w:rPr>
          <w:rFonts w:ascii="Times New Roman" w:hAnsi="Times New Roman"/>
          <w:sz w:val="24"/>
          <w:szCs w:val="24"/>
        </w:rPr>
        <w:t>eine Resolution, mit der die Maßnahmen der polnischen Regierung verurteilt und die „effektive L</w:t>
      </w:r>
      <w:r w:rsidR="003F466C" w:rsidRPr="004C738A">
        <w:rPr>
          <w:rFonts w:ascii="Times New Roman" w:hAnsi="Times New Roman"/>
          <w:sz w:val="24"/>
          <w:szCs w:val="24"/>
        </w:rPr>
        <w:t>ähmung“</w:t>
      </w:r>
      <w:r w:rsidR="00C33E99" w:rsidRPr="004C738A">
        <w:rPr>
          <w:rFonts w:ascii="Times New Roman" w:hAnsi="Times New Roman"/>
          <w:sz w:val="24"/>
          <w:szCs w:val="24"/>
        </w:rPr>
        <w:t xml:space="preserve"> des Verfassungsgerichtshofs als Gefahr für Demokratie, Mensche</w:t>
      </w:r>
      <w:r w:rsidR="00C33E99" w:rsidRPr="004C738A">
        <w:rPr>
          <w:rFonts w:ascii="Times New Roman" w:hAnsi="Times New Roman"/>
          <w:sz w:val="24"/>
          <w:szCs w:val="24"/>
        </w:rPr>
        <w:t>n</w:t>
      </w:r>
      <w:r w:rsidR="00C33E99" w:rsidRPr="004C738A">
        <w:rPr>
          <w:rFonts w:ascii="Times New Roman" w:hAnsi="Times New Roman"/>
          <w:sz w:val="24"/>
          <w:szCs w:val="24"/>
        </w:rPr>
        <w:t>rechte und Rechtsstaatlichkeit bewertet wird. Dabei verweist die Resolution insbesondere auf die Achtung von Menschenwürde, Freiheit, Demokratie, Gleichheit und Rechtsstaatlichkeit gemäß Art</w:t>
      </w:r>
      <w:r w:rsidR="00294586">
        <w:rPr>
          <w:rFonts w:ascii="Times New Roman" w:hAnsi="Times New Roman"/>
          <w:sz w:val="24"/>
          <w:szCs w:val="24"/>
        </w:rPr>
        <w:t>. </w:t>
      </w:r>
      <w:r w:rsidR="00C33E99" w:rsidRPr="004C738A">
        <w:rPr>
          <w:rFonts w:ascii="Times New Roman" w:hAnsi="Times New Roman"/>
          <w:sz w:val="24"/>
          <w:szCs w:val="24"/>
        </w:rPr>
        <w:t>2 EUV.</w:t>
      </w:r>
    </w:p>
    <w:p w:rsidR="00C33E99" w:rsidRPr="004C738A" w:rsidRDefault="00C33E99" w:rsidP="006D0400">
      <w:pPr>
        <w:rPr>
          <w:rFonts w:ascii="Times New Roman" w:hAnsi="Times New Roman"/>
          <w:sz w:val="24"/>
          <w:szCs w:val="24"/>
        </w:rPr>
      </w:pPr>
    </w:p>
    <w:p w:rsidR="00E60030" w:rsidRPr="004C738A" w:rsidRDefault="00583797" w:rsidP="00E60030">
      <w:pPr>
        <w:rPr>
          <w:rFonts w:ascii="Times New Roman" w:hAnsi="Times New Roman"/>
          <w:sz w:val="24"/>
          <w:szCs w:val="24"/>
        </w:rPr>
      </w:pPr>
      <w:r w:rsidRPr="004C738A">
        <w:rPr>
          <w:rFonts w:ascii="Times New Roman" w:hAnsi="Times New Roman"/>
          <w:sz w:val="24"/>
          <w:szCs w:val="24"/>
        </w:rPr>
        <w:lastRenderedPageBreak/>
        <w:t>D</w:t>
      </w:r>
      <w:r w:rsidR="006D0400" w:rsidRPr="004C738A">
        <w:rPr>
          <w:rFonts w:ascii="Times New Roman" w:hAnsi="Times New Roman"/>
          <w:sz w:val="24"/>
          <w:szCs w:val="24"/>
        </w:rPr>
        <w:t xml:space="preserve">ie EU-Kommission </w:t>
      </w:r>
      <w:r w:rsidRPr="004C738A">
        <w:rPr>
          <w:rFonts w:ascii="Times New Roman" w:hAnsi="Times New Roman"/>
          <w:sz w:val="24"/>
          <w:szCs w:val="24"/>
        </w:rPr>
        <w:t>führt seit Januar 2016 einen Rechtsstaatsdialog mit Polen</w:t>
      </w:r>
      <w:r w:rsidRPr="004C738A">
        <w:rPr>
          <w:rStyle w:val="Funotenzeichen"/>
          <w:rFonts w:ascii="Times New Roman" w:hAnsi="Times New Roman" w:cs="Times New Roman"/>
          <w:sz w:val="24"/>
          <w:szCs w:val="24"/>
        </w:rPr>
        <w:footnoteReference w:id="23"/>
      </w:r>
      <w:r w:rsidR="00E60030" w:rsidRPr="004C738A">
        <w:rPr>
          <w:rFonts w:ascii="Times New Roman" w:hAnsi="Times New Roman"/>
          <w:sz w:val="24"/>
          <w:szCs w:val="24"/>
        </w:rPr>
        <w:t xml:space="preserve"> </w:t>
      </w:r>
      <w:r w:rsidR="006D0400" w:rsidRPr="004C738A">
        <w:rPr>
          <w:rFonts w:ascii="Times New Roman" w:hAnsi="Times New Roman"/>
          <w:sz w:val="24"/>
          <w:szCs w:val="24"/>
        </w:rPr>
        <w:t>und erteilte dem</w:t>
      </w:r>
      <w:r w:rsidR="00E60030" w:rsidRPr="004C738A">
        <w:rPr>
          <w:rFonts w:ascii="Times New Roman" w:hAnsi="Times New Roman"/>
          <w:sz w:val="24"/>
          <w:szCs w:val="24"/>
        </w:rPr>
        <w:t xml:space="preserve"> Land</w:t>
      </w:r>
      <w:r w:rsidR="006D0400" w:rsidRPr="004C738A">
        <w:rPr>
          <w:rFonts w:ascii="Times New Roman" w:hAnsi="Times New Roman"/>
          <w:sz w:val="24"/>
          <w:szCs w:val="24"/>
        </w:rPr>
        <w:t xml:space="preserve"> am 1</w:t>
      </w:r>
      <w:r w:rsidR="00294586" w:rsidRPr="004C738A">
        <w:rPr>
          <w:rFonts w:ascii="Times New Roman" w:hAnsi="Times New Roman"/>
          <w:sz w:val="24"/>
          <w:szCs w:val="24"/>
        </w:rPr>
        <w:t>.</w:t>
      </w:r>
      <w:r w:rsidR="00294586">
        <w:rPr>
          <w:rFonts w:ascii="Times New Roman" w:hAnsi="Times New Roman"/>
          <w:sz w:val="24"/>
          <w:szCs w:val="24"/>
        </w:rPr>
        <w:t> </w:t>
      </w:r>
      <w:r w:rsidR="006D0400" w:rsidRPr="004C738A">
        <w:rPr>
          <w:rFonts w:ascii="Times New Roman" w:hAnsi="Times New Roman"/>
          <w:sz w:val="24"/>
          <w:szCs w:val="24"/>
        </w:rPr>
        <w:t xml:space="preserve">Juni 2016 eine offizielle Verwarnung. </w:t>
      </w:r>
      <w:r w:rsidR="00E60030" w:rsidRPr="004C738A">
        <w:rPr>
          <w:rFonts w:ascii="Times New Roman" w:hAnsi="Times New Roman"/>
          <w:sz w:val="24"/>
          <w:szCs w:val="24"/>
        </w:rPr>
        <w:t>Am 29. Juli 2017 hat sie ein Vertrag</w:t>
      </w:r>
      <w:r w:rsidR="00E60030" w:rsidRPr="004C738A">
        <w:rPr>
          <w:rFonts w:ascii="Times New Roman" w:hAnsi="Times New Roman"/>
          <w:sz w:val="24"/>
          <w:szCs w:val="24"/>
        </w:rPr>
        <w:t>s</w:t>
      </w:r>
      <w:r w:rsidR="00E60030" w:rsidRPr="004C738A">
        <w:rPr>
          <w:rFonts w:ascii="Times New Roman" w:hAnsi="Times New Roman"/>
          <w:sz w:val="24"/>
          <w:szCs w:val="24"/>
        </w:rPr>
        <w:t>verletzungsverfahren gegen Polen eröffnet und damit nach eigenen Angaben auf die</w:t>
      </w:r>
      <w:r w:rsidR="00294586">
        <w:rPr>
          <w:rFonts w:ascii="Times New Roman" w:hAnsi="Times New Roman"/>
          <w:sz w:val="24"/>
          <w:szCs w:val="24"/>
        </w:rPr>
        <w:t xml:space="preserve"> </w:t>
      </w:r>
      <w:r w:rsidR="00E60030" w:rsidRPr="004C738A">
        <w:rPr>
          <w:rFonts w:ascii="Times New Roman" w:hAnsi="Times New Roman"/>
          <w:sz w:val="24"/>
          <w:szCs w:val="24"/>
        </w:rPr>
        <w:t>Verö</w:t>
      </w:r>
      <w:r w:rsidR="00E60030" w:rsidRPr="004C738A">
        <w:rPr>
          <w:rFonts w:ascii="Times New Roman" w:hAnsi="Times New Roman"/>
          <w:sz w:val="24"/>
          <w:szCs w:val="24"/>
        </w:rPr>
        <w:t>f</w:t>
      </w:r>
      <w:r w:rsidR="00E60030" w:rsidRPr="004C738A">
        <w:rPr>
          <w:rFonts w:ascii="Times New Roman" w:hAnsi="Times New Roman"/>
          <w:sz w:val="24"/>
          <w:szCs w:val="24"/>
        </w:rPr>
        <w:t>fentlichung des Gesetzes über die ordentlichen Gerichte im polnischen Gesetzblatt vom</w:t>
      </w:r>
      <w:r w:rsidR="00294586">
        <w:rPr>
          <w:rFonts w:ascii="Times New Roman" w:hAnsi="Times New Roman"/>
          <w:sz w:val="24"/>
          <w:szCs w:val="24"/>
        </w:rPr>
        <w:t xml:space="preserve"> </w:t>
      </w:r>
      <w:r w:rsidR="00E60030" w:rsidRPr="004C738A">
        <w:rPr>
          <w:rFonts w:ascii="Times New Roman" w:hAnsi="Times New Roman"/>
          <w:sz w:val="24"/>
          <w:szCs w:val="24"/>
        </w:rPr>
        <w:t>28. Juli 2017 reagiert.</w:t>
      </w:r>
      <w:r w:rsidR="00E60030" w:rsidRPr="004C738A">
        <w:rPr>
          <w:rStyle w:val="Funotenzeichen"/>
          <w:rFonts w:ascii="Times New Roman" w:hAnsi="Times New Roman" w:cs="Times New Roman"/>
          <w:sz w:val="24"/>
          <w:szCs w:val="24"/>
        </w:rPr>
        <w:footnoteReference w:id="24"/>
      </w:r>
      <w:r w:rsidR="00E60030" w:rsidRPr="004C738A">
        <w:rPr>
          <w:rFonts w:ascii="Times New Roman" w:hAnsi="Times New Roman"/>
          <w:sz w:val="24"/>
          <w:szCs w:val="24"/>
        </w:rPr>
        <w:t xml:space="preserve"> </w:t>
      </w:r>
    </w:p>
    <w:p w:rsidR="00E60030" w:rsidRPr="004C738A" w:rsidRDefault="00E60030" w:rsidP="00E60030">
      <w:pPr>
        <w:rPr>
          <w:rFonts w:ascii="Times New Roman" w:hAnsi="Times New Roman"/>
          <w:sz w:val="24"/>
          <w:szCs w:val="24"/>
        </w:rPr>
      </w:pPr>
    </w:p>
    <w:p w:rsidR="006D0400" w:rsidRPr="004C738A" w:rsidRDefault="006D0400" w:rsidP="00E60030">
      <w:pPr>
        <w:rPr>
          <w:rFonts w:ascii="Times New Roman" w:hAnsi="Times New Roman"/>
          <w:sz w:val="24"/>
          <w:szCs w:val="24"/>
        </w:rPr>
      </w:pPr>
      <w:r w:rsidRPr="004C738A">
        <w:rPr>
          <w:rFonts w:ascii="Times New Roman" w:hAnsi="Times New Roman"/>
          <w:sz w:val="24"/>
          <w:szCs w:val="24"/>
        </w:rPr>
        <w:t xml:space="preserve">Schließlich hat </w:t>
      </w:r>
      <w:r w:rsidR="00E60030" w:rsidRPr="004C738A">
        <w:rPr>
          <w:rFonts w:ascii="Times New Roman" w:hAnsi="Times New Roman"/>
          <w:sz w:val="24"/>
          <w:szCs w:val="24"/>
        </w:rPr>
        <w:t xml:space="preserve">auch </w:t>
      </w:r>
      <w:r w:rsidRPr="004C738A">
        <w:rPr>
          <w:rFonts w:ascii="Times New Roman" w:hAnsi="Times New Roman"/>
          <w:sz w:val="24"/>
          <w:szCs w:val="24"/>
        </w:rPr>
        <w:t>die von der polnischen Regierung angerufene Venedig-Kommission die Gesetzesänderungen in einer Stellungnahme vom 11. März 2016 als Schwächung der Effekt</w:t>
      </w:r>
      <w:r w:rsidRPr="004C738A">
        <w:rPr>
          <w:rFonts w:ascii="Times New Roman" w:hAnsi="Times New Roman"/>
          <w:sz w:val="24"/>
          <w:szCs w:val="24"/>
        </w:rPr>
        <w:t>i</w:t>
      </w:r>
      <w:r w:rsidRPr="004C738A">
        <w:rPr>
          <w:rFonts w:ascii="Times New Roman" w:hAnsi="Times New Roman"/>
          <w:sz w:val="24"/>
          <w:szCs w:val="24"/>
        </w:rPr>
        <w:t>vität des Verfassungsgerichts</w:t>
      </w:r>
      <w:r w:rsidR="00E60030" w:rsidRPr="004C738A">
        <w:rPr>
          <w:rFonts w:ascii="Times New Roman" w:hAnsi="Times New Roman"/>
          <w:sz w:val="24"/>
          <w:szCs w:val="24"/>
        </w:rPr>
        <w:t>hofs</w:t>
      </w:r>
      <w:r w:rsidRPr="004C738A">
        <w:rPr>
          <w:rFonts w:ascii="Times New Roman" w:hAnsi="Times New Roman"/>
          <w:sz w:val="24"/>
          <w:szCs w:val="24"/>
        </w:rPr>
        <w:t xml:space="preserve"> und</w:t>
      </w:r>
      <w:r w:rsidR="00E60030" w:rsidRPr="004C738A">
        <w:rPr>
          <w:rFonts w:ascii="Times New Roman" w:hAnsi="Times New Roman"/>
          <w:sz w:val="24"/>
          <w:szCs w:val="24"/>
        </w:rPr>
        <w:t>,</w:t>
      </w:r>
      <w:r w:rsidRPr="004C738A">
        <w:rPr>
          <w:rFonts w:ascii="Times New Roman" w:hAnsi="Times New Roman"/>
          <w:sz w:val="24"/>
          <w:szCs w:val="24"/>
        </w:rPr>
        <w:t xml:space="preserve"> damit einhergehend</w:t>
      </w:r>
      <w:r w:rsidR="00E60030" w:rsidRPr="004C738A">
        <w:rPr>
          <w:rFonts w:ascii="Times New Roman" w:hAnsi="Times New Roman"/>
          <w:sz w:val="24"/>
          <w:szCs w:val="24"/>
        </w:rPr>
        <w:t>,</w:t>
      </w:r>
      <w:r w:rsidRPr="004C738A">
        <w:rPr>
          <w:rFonts w:ascii="Times New Roman" w:hAnsi="Times New Roman"/>
          <w:sz w:val="24"/>
          <w:szCs w:val="24"/>
        </w:rPr>
        <w:t xml:space="preserve"> als eine Gefährdung der Dem</w:t>
      </w:r>
      <w:r w:rsidRPr="004C738A">
        <w:rPr>
          <w:rFonts w:ascii="Times New Roman" w:hAnsi="Times New Roman"/>
          <w:sz w:val="24"/>
          <w:szCs w:val="24"/>
        </w:rPr>
        <w:t>o</w:t>
      </w:r>
      <w:r w:rsidRPr="004C738A">
        <w:rPr>
          <w:rFonts w:ascii="Times New Roman" w:hAnsi="Times New Roman"/>
          <w:sz w:val="24"/>
          <w:szCs w:val="24"/>
        </w:rPr>
        <w:t xml:space="preserve">kratie, der Menschenrechte und der Rechtsstaatlichkeit in Polen beurteilt und der PiS-Regierung – wie auch der Vorgängerregierung </w:t>
      </w:r>
      <w:r w:rsidR="00294586">
        <w:rPr>
          <w:rFonts w:ascii="Times New Roman" w:hAnsi="Times New Roman"/>
          <w:sz w:val="24"/>
          <w:szCs w:val="24"/>
        </w:rPr>
        <w:t>–</w:t>
      </w:r>
      <w:r w:rsidR="00294586" w:rsidRPr="004C738A">
        <w:rPr>
          <w:rFonts w:ascii="Times New Roman" w:hAnsi="Times New Roman"/>
          <w:sz w:val="24"/>
          <w:szCs w:val="24"/>
        </w:rPr>
        <w:t xml:space="preserve"> </w:t>
      </w:r>
      <w:r w:rsidRPr="004C738A">
        <w:rPr>
          <w:rFonts w:ascii="Times New Roman" w:hAnsi="Times New Roman"/>
          <w:sz w:val="24"/>
          <w:szCs w:val="24"/>
        </w:rPr>
        <w:t>verfassungswidriges Verhalten bescheinigt.</w:t>
      </w:r>
      <w:r w:rsidR="00E60030" w:rsidRPr="004C738A">
        <w:rPr>
          <w:rFonts w:ascii="Times New Roman" w:hAnsi="Times New Roman"/>
          <w:sz w:val="24"/>
          <w:szCs w:val="24"/>
        </w:rPr>
        <w:t xml:space="preserve"> Auf offene Ohren ist sie damit jedoch nicht gestoßen.</w:t>
      </w:r>
    </w:p>
    <w:p w:rsidR="00E60030" w:rsidRPr="004C738A" w:rsidRDefault="00E60030" w:rsidP="00E60030">
      <w:pPr>
        <w:rPr>
          <w:rFonts w:ascii="Times New Roman" w:hAnsi="Times New Roman"/>
          <w:sz w:val="24"/>
          <w:szCs w:val="24"/>
        </w:rPr>
      </w:pPr>
    </w:p>
    <w:p w:rsidR="00573248" w:rsidRPr="004C738A" w:rsidRDefault="00287BE9" w:rsidP="00A25B22">
      <w:pPr>
        <w:pStyle w:val="berschrift2"/>
        <w:rPr>
          <w:rFonts w:ascii="Times New Roman" w:hAnsi="Times New Roman" w:cs="Times New Roman"/>
          <w:sz w:val="24"/>
          <w:szCs w:val="24"/>
        </w:rPr>
      </w:pPr>
      <w:bookmarkStart w:id="6" w:name="_Toc498362301"/>
      <w:r w:rsidRPr="004C738A">
        <w:rPr>
          <w:rFonts w:ascii="Times New Roman" w:hAnsi="Times New Roman" w:cs="Times New Roman"/>
          <w:sz w:val="24"/>
          <w:szCs w:val="24"/>
        </w:rPr>
        <w:t>3</w:t>
      </w:r>
      <w:r w:rsidR="00F5359B" w:rsidRPr="004C738A">
        <w:rPr>
          <w:rFonts w:ascii="Times New Roman" w:hAnsi="Times New Roman" w:cs="Times New Roman"/>
          <w:sz w:val="24"/>
          <w:szCs w:val="24"/>
        </w:rPr>
        <w:t xml:space="preserve">. </w:t>
      </w:r>
      <w:r w:rsidR="00834F01" w:rsidRPr="004C738A">
        <w:rPr>
          <w:rFonts w:ascii="Times New Roman" w:hAnsi="Times New Roman" w:cs="Times New Roman"/>
          <w:sz w:val="24"/>
          <w:szCs w:val="24"/>
        </w:rPr>
        <w:t>Ru</w:t>
      </w:r>
      <w:r w:rsidR="002D07EA" w:rsidRPr="004C738A">
        <w:rPr>
          <w:rFonts w:ascii="Times New Roman" w:hAnsi="Times New Roman" w:cs="Times New Roman"/>
          <w:sz w:val="24"/>
          <w:szCs w:val="24"/>
        </w:rPr>
        <w:t>ss</w:t>
      </w:r>
      <w:r w:rsidR="00573248" w:rsidRPr="004C738A">
        <w:rPr>
          <w:rFonts w:ascii="Times New Roman" w:hAnsi="Times New Roman" w:cs="Times New Roman"/>
          <w:sz w:val="24"/>
          <w:szCs w:val="24"/>
        </w:rPr>
        <w:t>land</w:t>
      </w:r>
      <w:bookmarkEnd w:id="6"/>
    </w:p>
    <w:p w:rsidR="00A25B22" w:rsidRPr="004C738A" w:rsidRDefault="00780B23" w:rsidP="00A25B22">
      <w:pPr>
        <w:rPr>
          <w:rFonts w:ascii="Times New Roman" w:hAnsi="Times New Roman"/>
          <w:sz w:val="24"/>
          <w:szCs w:val="24"/>
        </w:rPr>
      </w:pPr>
      <w:r w:rsidRPr="004C738A">
        <w:rPr>
          <w:rFonts w:ascii="Times New Roman" w:hAnsi="Times New Roman"/>
          <w:sz w:val="24"/>
          <w:szCs w:val="24"/>
        </w:rPr>
        <w:t>In Ru</w:t>
      </w:r>
      <w:r w:rsidR="002D07EA" w:rsidRPr="004C738A">
        <w:rPr>
          <w:rFonts w:ascii="Times New Roman" w:hAnsi="Times New Roman"/>
          <w:sz w:val="24"/>
          <w:szCs w:val="24"/>
        </w:rPr>
        <w:t>ss</w:t>
      </w:r>
      <w:r w:rsidRPr="004C738A">
        <w:rPr>
          <w:rFonts w:ascii="Times New Roman" w:hAnsi="Times New Roman"/>
          <w:sz w:val="24"/>
          <w:szCs w:val="24"/>
        </w:rPr>
        <w:t>land ist d</w:t>
      </w:r>
      <w:r w:rsidR="00573248" w:rsidRPr="004C738A">
        <w:rPr>
          <w:rFonts w:ascii="Times New Roman" w:hAnsi="Times New Roman"/>
          <w:sz w:val="24"/>
          <w:szCs w:val="24"/>
        </w:rPr>
        <w:t>ie Unabh</w:t>
      </w:r>
      <w:r w:rsidR="00834F01" w:rsidRPr="004C738A">
        <w:rPr>
          <w:rFonts w:ascii="Times New Roman" w:hAnsi="Times New Roman"/>
          <w:sz w:val="24"/>
          <w:szCs w:val="24"/>
        </w:rPr>
        <w:t xml:space="preserve">ängigkeit der Justiz </w:t>
      </w:r>
      <w:r w:rsidR="00573248" w:rsidRPr="004C738A">
        <w:rPr>
          <w:rFonts w:ascii="Times New Roman" w:hAnsi="Times New Roman"/>
          <w:sz w:val="24"/>
          <w:szCs w:val="24"/>
        </w:rPr>
        <w:t>schon vor längerer Zeit zu Grabe getragen wo</w:t>
      </w:r>
      <w:r w:rsidR="00573248" w:rsidRPr="004C738A">
        <w:rPr>
          <w:rFonts w:ascii="Times New Roman" w:hAnsi="Times New Roman"/>
          <w:sz w:val="24"/>
          <w:szCs w:val="24"/>
        </w:rPr>
        <w:t>r</w:t>
      </w:r>
      <w:r w:rsidR="00573248" w:rsidRPr="004C738A">
        <w:rPr>
          <w:rFonts w:ascii="Times New Roman" w:hAnsi="Times New Roman"/>
          <w:sz w:val="24"/>
          <w:szCs w:val="24"/>
        </w:rPr>
        <w:t xml:space="preserve">den, </w:t>
      </w:r>
      <w:r w:rsidRPr="004C738A">
        <w:rPr>
          <w:rFonts w:ascii="Times New Roman" w:hAnsi="Times New Roman"/>
          <w:sz w:val="24"/>
          <w:szCs w:val="24"/>
        </w:rPr>
        <w:t>wenn auch weniger beachtet als in den genannten Mitgliedstaaten der Europäischen Un</w:t>
      </w:r>
      <w:r w:rsidRPr="004C738A">
        <w:rPr>
          <w:rFonts w:ascii="Times New Roman" w:hAnsi="Times New Roman"/>
          <w:sz w:val="24"/>
          <w:szCs w:val="24"/>
        </w:rPr>
        <w:t>i</w:t>
      </w:r>
      <w:r w:rsidRPr="004C738A">
        <w:rPr>
          <w:rFonts w:ascii="Times New Roman" w:hAnsi="Times New Roman"/>
          <w:sz w:val="24"/>
          <w:szCs w:val="24"/>
        </w:rPr>
        <w:t>on. Auch hier spielte</w:t>
      </w:r>
      <w:r w:rsidR="00573248" w:rsidRPr="004C738A">
        <w:rPr>
          <w:rFonts w:ascii="Times New Roman" w:hAnsi="Times New Roman"/>
          <w:sz w:val="24"/>
          <w:szCs w:val="24"/>
        </w:rPr>
        <w:t xml:space="preserve"> die Demontage des Verfassungsgerichts eine Schlüsselrolle</w:t>
      </w:r>
      <w:r w:rsidRPr="004C738A">
        <w:rPr>
          <w:rFonts w:ascii="Times New Roman" w:hAnsi="Times New Roman"/>
          <w:sz w:val="24"/>
          <w:szCs w:val="24"/>
        </w:rPr>
        <w:t>, weil damit ein alternativer Orientierungs- und Zufluchtspunkt für die Fachgerichte entfiel</w:t>
      </w:r>
      <w:r w:rsidR="00573248" w:rsidRPr="004C738A">
        <w:rPr>
          <w:rFonts w:ascii="Times New Roman" w:hAnsi="Times New Roman"/>
          <w:sz w:val="24"/>
          <w:szCs w:val="24"/>
        </w:rPr>
        <w:t xml:space="preserve">. </w:t>
      </w:r>
    </w:p>
    <w:p w:rsidR="00A25B22" w:rsidRPr="004C738A" w:rsidRDefault="00A25B22" w:rsidP="00A25B22">
      <w:pPr>
        <w:rPr>
          <w:rFonts w:ascii="Times New Roman" w:hAnsi="Times New Roman"/>
          <w:sz w:val="24"/>
          <w:szCs w:val="24"/>
        </w:rPr>
      </w:pPr>
    </w:p>
    <w:p w:rsidR="00573248" w:rsidRPr="004C738A" w:rsidRDefault="006C2AC7" w:rsidP="00A25B22">
      <w:pPr>
        <w:rPr>
          <w:rFonts w:ascii="Times New Roman" w:hAnsi="Times New Roman"/>
          <w:sz w:val="24"/>
          <w:szCs w:val="24"/>
        </w:rPr>
      </w:pPr>
      <w:r w:rsidRPr="004C738A">
        <w:rPr>
          <w:rFonts w:ascii="Times New Roman" w:hAnsi="Times New Roman"/>
          <w:sz w:val="24"/>
          <w:szCs w:val="24"/>
        </w:rPr>
        <w:t>Hatte es sich nach 1990 zunächst rasch als eine wichtige Stimme im Kreise der älteren Ve</w:t>
      </w:r>
      <w:r w:rsidRPr="004C738A">
        <w:rPr>
          <w:rFonts w:ascii="Times New Roman" w:hAnsi="Times New Roman"/>
          <w:sz w:val="24"/>
          <w:szCs w:val="24"/>
        </w:rPr>
        <w:t>r</w:t>
      </w:r>
      <w:r w:rsidRPr="004C738A">
        <w:rPr>
          <w:rFonts w:ascii="Times New Roman" w:hAnsi="Times New Roman"/>
          <w:sz w:val="24"/>
          <w:szCs w:val="24"/>
        </w:rPr>
        <w:t xml:space="preserve">fassungs- und Obergerichte etabliert, so musste es unter seinem </w:t>
      </w:r>
      <w:r w:rsidR="00573248" w:rsidRPr="004C738A">
        <w:rPr>
          <w:rFonts w:ascii="Times New Roman" w:hAnsi="Times New Roman"/>
          <w:sz w:val="24"/>
          <w:szCs w:val="24"/>
        </w:rPr>
        <w:t xml:space="preserve">Präsidenten </w:t>
      </w:r>
      <w:r w:rsidRPr="004C738A">
        <w:rPr>
          <w:rFonts w:ascii="Times New Roman" w:hAnsi="Times New Roman"/>
          <w:i/>
          <w:sz w:val="24"/>
          <w:szCs w:val="24"/>
        </w:rPr>
        <w:t>Waleri Sorkin</w:t>
      </w:r>
      <w:r w:rsidRPr="004C738A">
        <w:rPr>
          <w:rFonts w:ascii="Times New Roman" w:hAnsi="Times New Roman"/>
          <w:sz w:val="24"/>
          <w:szCs w:val="24"/>
        </w:rPr>
        <w:t xml:space="preserve">, der seit 2003 in zweiter Amtszeit das Gericht leitet, </w:t>
      </w:r>
      <w:r w:rsidR="00834F01" w:rsidRPr="004C738A">
        <w:rPr>
          <w:rFonts w:ascii="Times New Roman" w:hAnsi="Times New Roman"/>
          <w:sz w:val="24"/>
          <w:szCs w:val="24"/>
        </w:rPr>
        <w:t xml:space="preserve">im Jahre 2008 </w:t>
      </w:r>
      <w:r w:rsidRPr="004C738A">
        <w:rPr>
          <w:rFonts w:ascii="Times New Roman" w:hAnsi="Times New Roman"/>
          <w:sz w:val="24"/>
          <w:szCs w:val="24"/>
        </w:rPr>
        <w:t xml:space="preserve">nicht nur die Verlagerung seines Sitzes von Moskau nach St. Petersburg über sich ergehen lassen, </w:t>
      </w:r>
      <w:r w:rsidR="00834F01" w:rsidRPr="004C738A">
        <w:rPr>
          <w:rFonts w:ascii="Times New Roman" w:hAnsi="Times New Roman"/>
          <w:sz w:val="24"/>
          <w:szCs w:val="24"/>
        </w:rPr>
        <w:t xml:space="preserve">sondern auch </w:t>
      </w:r>
      <w:r w:rsidRPr="004C738A">
        <w:rPr>
          <w:rFonts w:ascii="Times New Roman" w:hAnsi="Times New Roman"/>
          <w:sz w:val="24"/>
          <w:szCs w:val="24"/>
        </w:rPr>
        <w:t>organ</w:t>
      </w:r>
      <w:r w:rsidRPr="004C738A">
        <w:rPr>
          <w:rFonts w:ascii="Times New Roman" w:hAnsi="Times New Roman"/>
          <w:sz w:val="24"/>
          <w:szCs w:val="24"/>
        </w:rPr>
        <w:t>i</w:t>
      </w:r>
      <w:r w:rsidRPr="004C738A">
        <w:rPr>
          <w:rFonts w:ascii="Times New Roman" w:hAnsi="Times New Roman"/>
          <w:sz w:val="24"/>
          <w:szCs w:val="24"/>
        </w:rPr>
        <w:t xml:space="preserve">satorische Veränderungen wie die Entmachtung der beiden Kammern (Senate), so dass </w:t>
      </w:r>
      <w:r w:rsidR="00834F01" w:rsidRPr="004C738A">
        <w:rPr>
          <w:rFonts w:ascii="Times New Roman" w:hAnsi="Times New Roman"/>
          <w:sz w:val="24"/>
          <w:szCs w:val="24"/>
        </w:rPr>
        <w:t>über alle wesentlichen Fragen im Plenum mit 19 Richtern entschieden werden muss.</w:t>
      </w:r>
    </w:p>
    <w:p w:rsidR="00834F01" w:rsidRPr="004C738A" w:rsidRDefault="00834F01" w:rsidP="00A25B22">
      <w:pPr>
        <w:rPr>
          <w:rFonts w:ascii="Times New Roman" w:hAnsi="Times New Roman"/>
          <w:sz w:val="24"/>
          <w:szCs w:val="24"/>
        </w:rPr>
      </w:pPr>
    </w:p>
    <w:p w:rsidR="00834F01" w:rsidRPr="004C738A" w:rsidRDefault="00834F01" w:rsidP="00E803DF">
      <w:pPr>
        <w:rPr>
          <w:rFonts w:ascii="Times New Roman" w:hAnsi="Times New Roman"/>
          <w:sz w:val="24"/>
          <w:szCs w:val="24"/>
        </w:rPr>
      </w:pPr>
      <w:r w:rsidRPr="004C738A">
        <w:rPr>
          <w:rFonts w:ascii="Times New Roman" w:hAnsi="Times New Roman"/>
          <w:sz w:val="24"/>
          <w:szCs w:val="24"/>
        </w:rPr>
        <w:t>Die Richter des Verfassungsgerichts wie auch anderer Obergerichte werden auf Vorschlag des Präsidenten vom Föderationsrat ernannt (Art. 128 Abs</w:t>
      </w:r>
      <w:r w:rsidR="00294586" w:rsidRPr="004C738A">
        <w:rPr>
          <w:rFonts w:ascii="Times New Roman" w:hAnsi="Times New Roman"/>
          <w:sz w:val="24"/>
          <w:szCs w:val="24"/>
        </w:rPr>
        <w:t>.</w:t>
      </w:r>
      <w:r w:rsidR="00294586">
        <w:rPr>
          <w:rFonts w:ascii="Times New Roman" w:hAnsi="Times New Roman"/>
          <w:sz w:val="24"/>
          <w:szCs w:val="24"/>
        </w:rPr>
        <w:t> </w:t>
      </w:r>
      <w:r w:rsidRPr="004C738A">
        <w:rPr>
          <w:rFonts w:ascii="Times New Roman" w:hAnsi="Times New Roman"/>
          <w:sz w:val="24"/>
          <w:szCs w:val="24"/>
        </w:rPr>
        <w:t xml:space="preserve">1 </w:t>
      </w:r>
      <w:r w:rsidR="00294586" w:rsidRPr="00C21251">
        <w:rPr>
          <w:rFonts w:ascii="Times New Roman" w:hAnsi="Times New Roman"/>
          <w:sz w:val="24"/>
          <w:szCs w:val="24"/>
        </w:rPr>
        <w:t>RussVerf</w:t>
      </w:r>
      <w:r w:rsidRPr="00C21251">
        <w:rPr>
          <w:rFonts w:ascii="Times New Roman" w:hAnsi="Times New Roman"/>
          <w:sz w:val="24"/>
          <w:szCs w:val="24"/>
        </w:rPr>
        <w:t>.).</w:t>
      </w:r>
      <w:r w:rsidRPr="004C738A">
        <w:rPr>
          <w:rFonts w:ascii="Times New Roman" w:hAnsi="Times New Roman"/>
          <w:sz w:val="24"/>
          <w:szCs w:val="24"/>
        </w:rPr>
        <w:t xml:space="preserve"> Da dem Präsidenten damit ein kaum näher konditioniertes Auswahlrecht zukommt, scheint man </w:t>
      </w:r>
      <w:r w:rsidR="007E593B" w:rsidRPr="004C738A">
        <w:rPr>
          <w:rFonts w:ascii="Times New Roman" w:hAnsi="Times New Roman"/>
          <w:sz w:val="24"/>
          <w:szCs w:val="24"/>
        </w:rPr>
        <w:t xml:space="preserve">Möglichkeiten </w:t>
      </w:r>
      <w:r w:rsidRPr="004C738A">
        <w:rPr>
          <w:rFonts w:ascii="Times New Roman" w:hAnsi="Times New Roman"/>
          <w:sz w:val="24"/>
          <w:szCs w:val="24"/>
        </w:rPr>
        <w:t>gefunden zu haben, zumindest auf diesem Wege für eine der „Macht“, d. h. dem Kreml g</w:t>
      </w:r>
      <w:r w:rsidRPr="004C738A">
        <w:rPr>
          <w:rFonts w:ascii="Times New Roman" w:hAnsi="Times New Roman"/>
          <w:sz w:val="24"/>
          <w:szCs w:val="24"/>
        </w:rPr>
        <w:t>e</w:t>
      </w:r>
      <w:r w:rsidRPr="004C738A">
        <w:rPr>
          <w:rFonts w:ascii="Times New Roman" w:hAnsi="Times New Roman"/>
          <w:sz w:val="24"/>
          <w:szCs w:val="24"/>
        </w:rPr>
        <w:t xml:space="preserve">nehme Rechtsprechung zu sorgen. </w:t>
      </w:r>
      <w:r w:rsidR="00E803DF" w:rsidRPr="004C738A">
        <w:rPr>
          <w:rFonts w:ascii="Times New Roman" w:hAnsi="Times New Roman"/>
          <w:sz w:val="24"/>
          <w:szCs w:val="24"/>
        </w:rPr>
        <w:t xml:space="preserve">Zwar hat das Verfassungsgericht im November 2009 das </w:t>
      </w:r>
      <w:r w:rsidR="00E803DF" w:rsidRPr="004C738A">
        <w:rPr>
          <w:rFonts w:ascii="Times New Roman" w:hAnsi="Times New Roman"/>
          <w:sz w:val="24"/>
          <w:szCs w:val="24"/>
        </w:rPr>
        <w:lastRenderedPageBreak/>
        <w:t xml:space="preserve">Moratorium für die Todesstrafe verlängert; lässt man seine </w:t>
      </w:r>
      <w:r w:rsidR="00ED75C4" w:rsidRPr="004C738A">
        <w:rPr>
          <w:rFonts w:ascii="Times New Roman" w:hAnsi="Times New Roman"/>
          <w:sz w:val="24"/>
          <w:szCs w:val="24"/>
        </w:rPr>
        <w:t xml:space="preserve">jüngere Rechtsprechung </w:t>
      </w:r>
      <w:r w:rsidR="00E803DF" w:rsidRPr="004C738A">
        <w:rPr>
          <w:rFonts w:ascii="Times New Roman" w:hAnsi="Times New Roman"/>
          <w:sz w:val="24"/>
          <w:szCs w:val="24"/>
        </w:rPr>
        <w:t xml:space="preserve">jedoch </w:t>
      </w:r>
      <w:r w:rsidR="00ED75C4" w:rsidRPr="004C738A">
        <w:rPr>
          <w:rFonts w:ascii="Times New Roman" w:hAnsi="Times New Roman"/>
          <w:sz w:val="24"/>
          <w:szCs w:val="24"/>
        </w:rPr>
        <w:t>unter dem Gesichtspunkt „fitting what judges did is more important than fitting what they said“</w:t>
      </w:r>
      <w:r w:rsidR="00ED75C4" w:rsidRPr="004C738A">
        <w:rPr>
          <w:rStyle w:val="Funotenzeichen"/>
          <w:rFonts w:ascii="Times New Roman" w:hAnsi="Times New Roman" w:cs="Times New Roman"/>
          <w:sz w:val="24"/>
          <w:szCs w:val="24"/>
        </w:rPr>
        <w:footnoteReference w:id="25"/>
      </w:r>
      <w:r w:rsidR="00ED75C4" w:rsidRPr="004C738A">
        <w:rPr>
          <w:rFonts w:ascii="Times New Roman" w:hAnsi="Times New Roman"/>
          <w:sz w:val="24"/>
          <w:szCs w:val="24"/>
        </w:rPr>
        <w:t xml:space="preserve"> </w:t>
      </w:r>
      <w:r w:rsidR="00ED75C4" w:rsidRPr="00D00EED">
        <w:rPr>
          <w:rFonts w:ascii="Times New Roman" w:hAnsi="Times New Roman"/>
          <w:sz w:val="24"/>
          <w:szCs w:val="24"/>
        </w:rPr>
        <w:t>revue</w:t>
      </w:r>
      <w:r w:rsidR="00ED75C4" w:rsidRPr="004C738A">
        <w:rPr>
          <w:rFonts w:ascii="Times New Roman" w:hAnsi="Times New Roman"/>
          <w:sz w:val="24"/>
          <w:szCs w:val="24"/>
        </w:rPr>
        <w:t xml:space="preserve"> passieren</w:t>
      </w:r>
      <w:r w:rsidR="00E803DF" w:rsidRPr="004C738A">
        <w:rPr>
          <w:rFonts w:ascii="Times New Roman" w:hAnsi="Times New Roman"/>
          <w:sz w:val="24"/>
          <w:szCs w:val="24"/>
        </w:rPr>
        <w:t xml:space="preserve">, so vermeidet es jedenfalls einen Konflikt mit dem Kreml. Pars pro toto </w:t>
      </w:r>
      <w:r w:rsidR="00ED75C4" w:rsidRPr="004C738A">
        <w:rPr>
          <w:rFonts w:ascii="Times New Roman" w:hAnsi="Times New Roman"/>
          <w:sz w:val="24"/>
          <w:szCs w:val="24"/>
        </w:rPr>
        <w:t>seien hier nur der Beschluss Nr. 10-P vom 8</w:t>
      </w:r>
      <w:r w:rsidR="00294586" w:rsidRPr="004C738A">
        <w:rPr>
          <w:rFonts w:ascii="Times New Roman" w:hAnsi="Times New Roman"/>
          <w:sz w:val="24"/>
          <w:szCs w:val="24"/>
        </w:rPr>
        <w:t>.</w:t>
      </w:r>
      <w:r w:rsidR="00294586">
        <w:rPr>
          <w:rFonts w:ascii="Times New Roman" w:hAnsi="Times New Roman"/>
          <w:sz w:val="24"/>
          <w:szCs w:val="24"/>
        </w:rPr>
        <w:t> </w:t>
      </w:r>
      <w:r w:rsidR="00ED75C4" w:rsidRPr="004C738A">
        <w:rPr>
          <w:rFonts w:ascii="Times New Roman" w:hAnsi="Times New Roman"/>
          <w:sz w:val="24"/>
          <w:szCs w:val="24"/>
        </w:rPr>
        <w:t>April 2014</w:t>
      </w:r>
      <w:r w:rsidR="00A05A75" w:rsidRPr="004C738A">
        <w:rPr>
          <w:rStyle w:val="Funotenzeichen"/>
          <w:rFonts w:ascii="Times New Roman" w:hAnsi="Times New Roman" w:cs="Times New Roman"/>
          <w:sz w:val="24"/>
          <w:szCs w:val="24"/>
        </w:rPr>
        <w:footnoteReference w:id="26"/>
      </w:r>
      <w:r w:rsidR="00ED75C4" w:rsidRPr="004C738A">
        <w:rPr>
          <w:rFonts w:ascii="Times New Roman" w:hAnsi="Times New Roman"/>
          <w:sz w:val="24"/>
          <w:szCs w:val="24"/>
        </w:rPr>
        <w:t xml:space="preserve"> genannt, mit dem das Verfa</w:t>
      </w:r>
      <w:r w:rsidR="00ED75C4" w:rsidRPr="004C738A">
        <w:rPr>
          <w:rFonts w:ascii="Times New Roman" w:hAnsi="Times New Roman"/>
          <w:sz w:val="24"/>
          <w:szCs w:val="24"/>
        </w:rPr>
        <w:t>s</w:t>
      </w:r>
      <w:r w:rsidR="00ED75C4" w:rsidRPr="004C738A">
        <w:rPr>
          <w:rFonts w:ascii="Times New Roman" w:hAnsi="Times New Roman"/>
          <w:sz w:val="24"/>
          <w:szCs w:val="24"/>
        </w:rPr>
        <w:t xml:space="preserve">sungsgericht das Gesetz zur Änderung des Gesetzes </w:t>
      </w:r>
      <w:r w:rsidR="00294586" w:rsidRPr="004C738A">
        <w:rPr>
          <w:rFonts w:ascii="Times New Roman" w:hAnsi="Times New Roman"/>
          <w:sz w:val="24"/>
          <w:szCs w:val="24"/>
        </w:rPr>
        <w:t>„</w:t>
      </w:r>
      <w:r w:rsidR="00ED75C4" w:rsidRPr="004C738A">
        <w:rPr>
          <w:rFonts w:ascii="Times New Roman" w:hAnsi="Times New Roman"/>
          <w:sz w:val="24"/>
          <w:szCs w:val="24"/>
        </w:rPr>
        <w:t>Über die Nichtregierungsorganisati</w:t>
      </w:r>
      <w:r w:rsidR="00ED75C4" w:rsidRPr="004C738A">
        <w:rPr>
          <w:rFonts w:ascii="Times New Roman" w:hAnsi="Times New Roman"/>
          <w:sz w:val="24"/>
          <w:szCs w:val="24"/>
        </w:rPr>
        <w:t>o</w:t>
      </w:r>
      <w:r w:rsidR="00ED75C4" w:rsidRPr="004C738A">
        <w:rPr>
          <w:rFonts w:ascii="Times New Roman" w:hAnsi="Times New Roman"/>
          <w:sz w:val="24"/>
          <w:szCs w:val="24"/>
        </w:rPr>
        <w:t>nen</w:t>
      </w:r>
      <w:r w:rsidR="00294586" w:rsidRPr="004C738A">
        <w:rPr>
          <w:rFonts w:ascii="Times New Roman" w:hAnsi="Times New Roman"/>
          <w:sz w:val="24"/>
          <w:szCs w:val="24"/>
        </w:rPr>
        <w:t>“</w:t>
      </w:r>
      <w:r w:rsidR="00ED75C4" w:rsidRPr="004C738A">
        <w:rPr>
          <w:rFonts w:ascii="Times New Roman" w:hAnsi="Times New Roman"/>
          <w:sz w:val="24"/>
          <w:szCs w:val="24"/>
        </w:rPr>
        <w:t xml:space="preserve"> vom Juli 2012</w:t>
      </w:r>
      <w:r w:rsidR="00E803DF" w:rsidRPr="004C738A">
        <w:rPr>
          <w:rFonts w:ascii="Times New Roman" w:hAnsi="Times New Roman"/>
          <w:sz w:val="24"/>
          <w:szCs w:val="24"/>
        </w:rPr>
        <w:t>, das sog. Agentengesetz, das die Tätigkeit von Nichtregierungsorganisat</w:t>
      </w:r>
      <w:r w:rsidR="00E803DF" w:rsidRPr="004C738A">
        <w:rPr>
          <w:rFonts w:ascii="Times New Roman" w:hAnsi="Times New Roman"/>
          <w:sz w:val="24"/>
          <w:szCs w:val="24"/>
        </w:rPr>
        <w:t>i</w:t>
      </w:r>
      <w:r w:rsidR="00E803DF" w:rsidRPr="004C738A">
        <w:rPr>
          <w:rFonts w:ascii="Times New Roman" w:hAnsi="Times New Roman"/>
          <w:sz w:val="24"/>
          <w:szCs w:val="24"/>
        </w:rPr>
        <w:t xml:space="preserve">onen empfindlich einschränkt, </w:t>
      </w:r>
      <w:r w:rsidR="00ED75C4" w:rsidRPr="004C738A">
        <w:rPr>
          <w:rFonts w:ascii="Times New Roman" w:hAnsi="Times New Roman"/>
          <w:sz w:val="24"/>
          <w:szCs w:val="24"/>
        </w:rPr>
        <w:t>für verfassungsgemäß erklärt oder die</w:t>
      </w:r>
      <w:r w:rsidR="00E803DF" w:rsidRPr="004C738A">
        <w:rPr>
          <w:rFonts w:ascii="Times New Roman" w:hAnsi="Times New Roman"/>
          <w:sz w:val="24"/>
          <w:szCs w:val="24"/>
        </w:rPr>
        <w:t xml:space="preserve"> Yukos-Entscheidung vom 14. Juli 2015,</w:t>
      </w:r>
      <w:r w:rsidR="00E803DF" w:rsidRPr="004C738A">
        <w:rPr>
          <w:rStyle w:val="Funotenzeichen"/>
          <w:rFonts w:ascii="Times New Roman" w:hAnsi="Times New Roman" w:cs="Times New Roman"/>
          <w:sz w:val="24"/>
          <w:szCs w:val="24"/>
        </w:rPr>
        <w:footnoteReference w:id="27"/>
      </w:r>
      <w:r w:rsidR="00E803DF" w:rsidRPr="004C738A">
        <w:rPr>
          <w:rFonts w:ascii="Times New Roman" w:hAnsi="Times New Roman"/>
          <w:sz w:val="24"/>
          <w:szCs w:val="24"/>
        </w:rPr>
        <w:t xml:space="preserve"> mit der es eine Verurteilung Ru</w:t>
      </w:r>
      <w:r w:rsidR="002D07EA" w:rsidRPr="004C738A">
        <w:rPr>
          <w:rFonts w:ascii="Times New Roman" w:hAnsi="Times New Roman"/>
          <w:sz w:val="24"/>
          <w:szCs w:val="24"/>
        </w:rPr>
        <w:t>ss</w:t>
      </w:r>
      <w:r w:rsidR="00E803DF" w:rsidRPr="004C738A">
        <w:rPr>
          <w:rFonts w:ascii="Times New Roman" w:hAnsi="Times New Roman"/>
          <w:sz w:val="24"/>
          <w:szCs w:val="24"/>
        </w:rPr>
        <w:t xml:space="preserve">lands durch den EGMR </w:t>
      </w:r>
      <w:r w:rsidR="00780B23" w:rsidRPr="004C738A">
        <w:rPr>
          <w:rFonts w:ascii="Times New Roman" w:hAnsi="Times New Roman"/>
          <w:sz w:val="24"/>
          <w:szCs w:val="24"/>
        </w:rPr>
        <w:t>kassiert und als „politisch“ eingestuft hat</w:t>
      </w:r>
      <w:r w:rsidR="00ED75C4" w:rsidRPr="004C738A">
        <w:rPr>
          <w:rFonts w:ascii="Times New Roman" w:hAnsi="Times New Roman"/>
          <w:sz w:val="24"/>
          <w:szCs w:val="24"/>
        </w:rPr>
        <w:t>.</w:t>
      </w:r>
      <w:r w:rsidR="00780B23" w:rsidRPr="004C738A">
        <w:rPr>
          <w:rFonts w:ascii="Times New Roman" w:hAnsi="Times New Roman"/>
          <w:sz w:val="24"/>
          <w:szCs w:val="24"/>
        </w:rPr>
        <w:t xml:space="preserve"> Auch wenn sich die vom russischen Verfassungsgericht insoweit angelegten Maßstäbe an denen des Bundesverfassungsgerichts orientieren mögen,</w:t>
      </w:r>
      <w:r w:rsidR="00780B23" w:rsidRPr="004C738A">
        <w:rPr>
          <w:rStyle w:val="Funotenzeichen"/>
          <w:rFonts w:ascii="Times New Roman" w:hAnsi="Times New Roman" w:cs="Times New Roman"/>
          <w:sz w:val="24"/>
          <w:szCs w:val="24"/>
        </w:rPr>
        <w:footnoteReference w:id="28"/>
      </w:r>
      <w:r w:rsidR="00780B23" w:rsidRPr="004C738A">
        <w:rPr>
          <w:rFonts w:ascii="Times New Roman" w:hAnsi="Times New Roman"/>
          <w:sz w:val="24"/>
          <w:szCs w:val="24"/>
        </w:rPr>
        <w:t xml:space="preserve"> ist ihre Anwendung auf den konkreten Fall doch nicht vergleichbar. Als Instrument „struktureller Opposition“ gegenüber den Mächtigen (vgl. oben) hat das russische Verfassungsgericht j</w:t>
      </w:r>
      <w:r w:rsidR="00780B23" w:rsidRPr="004C738A">
        <w:rPr>
          <w:rFonts w:ascii="Times New Roman" w:hAnsi="Times New Roman"/>
          <w:sz w:val="24"/>
          <w:szCs w:val="24"/>
        </w:rPr>
        <w:t>e</w:t>
      </w:r>
      <w:r w:rsidR="00780B23" w:rsidRPr="004C738A">
        <w:rPr>
          <w:rFonts w:ascii="Times New Roman" w:hAnsi="Times New Roman"/>
          <w:sz w:val="24"/>
          <w:szCs w:val="24"/>
        </w:rPr>
        <w:t xml:space="preserve">denfalls bis auf </w:t>
      </w:r>
      <w:r w:rsidR="00294586" w:rsidRPr="004C738A">
        <w:rPr>
          <w:rFonts w:ascii="Times New Roman" w:hAnsi="Times New Roman"/>
          <w:sz w:val="24"/>
          <w:szCs w:val="24"/>
        </w:rPr>
        <w:t>weiteres</w:t>
      </w:r>
      <w:r w:rsidR="00780B23" w:rsidRPr="004C738A">
        <w:rPr>
          <w:rFonts w:ascii="Times New Roman" w:hAnsi="Times New Roman"/>
          <w:sz w:val="24"/>
          <w:szCs w:val="24"/>
        </w:rPr>
        <w:t xml:space="preserve"> ausgedient.</w:t>
      </w:r>
    </w:p>
    <w:p w:rsidR="00A25B22" w:rsidRPr="004C738A" w:rsidRDefault="00A25B22" w:rsidP="00E803DF">
      <w:pPr>
        <w:rPr>
          <w:rFonts w:ascii="Times New Roman" w:hAnsi="Times New Roman"/>
          <w:sz w:val="24"/>
          <w:szCs w:val="24"/>
        </w:rPr>
      </w:pPr>
    </w:p>
    <w:p w:rsidR="00A25B22" w:rsidRPr="004C738A" w:rsidRDefault="00642A4D" w:rsidP="00E803DF">
      <w:pPr>
        <w:rPr>
          <w:rFonts w:ascii="Times New Roman" w:hAnsi="Times New Roman"/>
          <w:sz w:val="24"/>
          <w:szCs w:val="24"/>
        </w:rPr>
      </w:pPr>
      <w:r w:rsidRPr="004C738A">
        <w:rPr>
          <w:rFonts w:ascii="Times New Roman" w:hAnsi="Times New Roman"/>
          <w:sz w:val="24"/>
          <w:szCs w:val="24"/>
        </w:rPr>
        <w:t xml:space="preserve">Große Hindernisse hat es bei der Entmachtung </w:t>
      </w:r>
      <w:r w:rsidR="00AF444B" w:rsidRPr="004C738A">
        <w:rPr>
          <w:rFonts w:ascii="Times New Roman" w:hAnsi="Times New Roman"/>
          <w:sz w:val="24"/>
          <w:szCs w:val="24"/>
        </w:rPr>
        <w:t xml:space="preserve">und Gleichschaltung </w:t>
      </w:r>
      <w:r w:rsidRPr="004C738A">
        <w:rPr>
          <w:rFonts w:ascii="Times New Roman" w:hAnsi="Times New Roman"/>
          <w:sz w:val="24"/>
          <w:szCs w:val="24"/>
        </w:rPr>
        <w:t xml:space="preserve">der russischen Justiz nicht gegeben. </w:t>
      </w:r>
      <w:r w:rsidR="00AF444B" w:rsidRPr="004C738A">
        <w:rPr>
          <w:rFonts w:ascii="Times New Roman" w:hAnsi="Times New Roman"/>
          <w:sz w:val="24"/>
          <w:szCs w:val="24"/>
        </w:rPr>
        <w:t>Von außen bemühen sich immerhin die Venedig-Kommission</w:t>
      </w:r>
      <w:r w:rsidR="00AF444B" w:rsidRPr="004C738A">
        <w:rPr>
          <w:rStyle w:val="Funotenzeichen"/>
          <w:rFonts w:ascii="Times New Roman" w:hAnsi="Times New Roman" w:cs="Times New Roman"/>
          <w:sz w:val="24"/>
          <w:szCs w:val="24"/>
        </w:rPr>
        <w:footnoteReference w:id="29"/>
      </w:r>
      <w:r w:rsidR="00AF444B" w:rsidRPr="004C738A">
        <w:rPr>
          <w:rFonts w:ascii="Times New Roman" w:hAnsi="Times New Roman"/>
          <w:sz w:val="24"/>
          <w:szCs w:val="24"/>
        </w:rPr>
        <w:t xml:space="preserve"> und der </w:t>
      </w:r>
      <w:r w:rsidR="00A25B22" w:rsidRPr="004C738A">
        <w:rPr>
          <w:rFonts w:ascii="Times New Roman" w:hAnsi="Times New Roman"/>
          <w:sz w:val="24"/>
          <w:szCs w:val="24"/>
        </w:rPr>
        <w:t xml:space="preserve">EGMR </w:t>
      </w:r>
      <w:r w:rsidR="00AF444B" w:rsidRPr="004C738A">
        <w:rPr>
          <w:rFonts w:ascii="Times New Roman" w:hAnsi="Times New Roman"/>
          <w:sz w:val="24"/>
          <w:szCs w:val="24"/>
        </w:rPr>
        <w:t xml:space="preserve">unverdrossen darum, </w:t>
      </w:r>
      <w:r w:rsidR="00A25B22" w:rsidRPr="004C738A">
        <w:rPr>
          <w:rFonts w:ascii="Times New Roman" w:hAnsi="Times New Roman"/>
          <w:sz w:val="24"/>
          <w:szCs w:val="24"/>
        </w:rPr>
        <w:t xml:space="preserve">den von der Konvention geforderten </w:t>
      </w:r>
      <w:r w:rsidRPr="004C738A">
        <w:rPr>
          <w:rFonts w:ascii="Times New Roman" w:hAnsi="Times New Roman"/>
          <w:sz w:val="24"/>
          <w:szCs w:val="24"/>
        </w:rPr>
        <w:t>Mindeststandard an Grun</w:t>
      </w:r>
      <w:r w:rsidRPr="004C738A">
        <w:rPr>
          <w:rFonts w:ascii="Times New Roman" w:hAnsi="Times New Roman"/>
          <w:sz w:val="24"/>
          <w:szCs w:val="24"/>
        </w:rPr>
        <w:t>d</w:t>
      </w:r>
      <w:r w:rsidRPr="004C738A">
        <w:rPr>
          <w:rFonts w:ascii="Times New Roman" w:hAnsi="Times New Roman"/>
          <w:sz w:val="24"/>
          <w:szCs w:val="24"/>
        </w:rPr>
        <w:t xml:space="preserve">rechtsschutz </w:t>
      </w:r>
      <w:r w:rsidR="00AF444B" w:rsidRPr="004C738A">
        <w:rPr>
          <w:rFonts w:ascii="Times New Roman" w:hAnsi="Times New Roman"/>
          <w:sz w:val="24"/>
          <w:szCs w:val="24"/>
        </w:rPr>
        <w:t>auch in und für Ru</w:t>
      </w:r>
      <w:r w:rsidR="00A6363C" w:rsidRPr="004C738A">
        <w:rPr>
          <w:rFonts w:ascii="Times New Roman" w:hAnsi="Times New Roman"/>
          <w:sz w:val="24"/>
          <w:szCs w:val="24"/>
        </w:rPr>
        <w:t>ss</w:t>
      </w:r>
      <w:r w:rsidR="00AF444B" w:rsidRPr="004C738A">
        <w:rPr>
          <w:rFonts w:ascii="Times New Roman" w:hAnsi="Times New Roman"/>
          <w:sz w:val="24"/>
          <w:szCs w:val="24"/>
        </w:rPr>
        <w:t xml:space="preserve">land immer wieder </w:t>
      </w:r>
      <w:r w:rsidRPr="004C738A">
        <w:rPr>
          <w:rFonts w:ascii="Times New Roman" w:hAnsi="Times New Roman"/>
          <w:sz w:val="24"/>
          <w:szCs w:val="24"/>
        </w:rPr>
        <w:t>durchzusetzen.</w:t>
      </w:r>
      <w:r w:rsidRPr="004C738A">
        <w:rPr>
          <w:rStyle w:val="Funotenzeichen"/>
          <w:rFonts w:ascii="Times New Roman" w:hAnsi="Times New Roman" w:cs="Times New Roman"/>
          <w:sz w:val="24"/>
          <w:szCs w:val="24"/>
        </w:rPr>
        <w:footnoteReference w:id="30"/>
      </w:r>
    </w:p>
    <w:p w:rsidR="00A25B22" w:rsidRPr="004C738A" w:rsidRDefault="00A25B22" w:rsidP="00E803DF">
      <w:pPr>
        <w:rPr>
          <w:rFonts w:ascii="Times New Roman" w:hAnsi="Times New Roman"/>
          <w:sz w:val="24"/>
          <w:szCs w:val="24"/>
        </w:rPr>
      </w:pPr>
    </w:p>
    <w:p w:rsidR="006D0400" w:rsidRPr="004C738A" w:rsidRDefault="00287BE9" w:rsidP="00A25B22">
      <w:pPr>
        <w:pStyle w:val="berschrift2"/>
        <w:rPr>
          <w:rFonts w:ascii="Times New Roman" w:hAnsi="Times New Roman" w:cs="Times New Roman"/>
          <w:sz w:val="24"/>
          <w:szCs w:val="24"/>
        </w:rPr>
      </w:pPr>
      <w:bookmarkStart w:id="7" w:name="_Toc498362302"/>
      <w:r w:rsidRPr="004C738A">
        <w:rPr>
          <w:rFonts w:ascii="Times New Roman" w:hAnsi="Times New Roman" w:cs="Times New Roman"/>
          <w:sz w:val="24"/>
          <w:szCs w:val="24"/>
        </w:rPr>
        <w:lastRenderedPageBreak/>
        <w:t>4</w:t>
      </w:r>
      <w:r w:rsidR="00573248" w:rsidRPr="004C738A">
        <w:rPr>
          <w:rFonts w:ascii="Times New Roman" w:hAnsi="Times New Roman" w:cs="Times New Roman"/>
          <w:sz w:val="24"/>
          <w:szCs w:val="24"/>
        </w:rPr>
        <w:t xml:space="preserve">. </w:t>
      </w:r>
      <w:r w:rsidR="00F5359B" w:rsidRPr="004C738A">
        <w:rPr>
          <w:rFonts w:ascii="Times New Roman" w:hAnsi="Times New Roman" w:cs="Times New Roman"/>
          <w:sz w:val="24"/>
          <w:szCs w:val="24"/>
        </w:rPr>
        <w:t>Türkei</w:t>
      </w:r>
      <w:bookmarkEnd w:id="7"/>
    </w:p>
    <w:p w:rsidR="005E6D06" w:rsidRPr="004C738A" w:rsidRDefault="00A25B22" w:rsidP="00A25B22">
      <w:pPr>
        <w:rPr>
          <w:rFonts w:ascii="Times New Roman" w:hAnsi="Times New Roman"/>
          <w:sz w:val="24"/>
          <w:szCs w:val="24"/>
        </w:rPr>
      </w:pPr>
      <w:r w:rsidRPr="004C738A">
        <w:rPr>
          <w:rFonts w:ascii="Times New Roman" w:hAnsi="Times New Roman"/>
          <w:sz w:val="24"/>
          <w:szCs w:val="24"/>
        </w:rPr>
        <w:t>D</w:t>
      </w:r>
      <w:r w:rsidR="005E6D06" w:rsidRPr="004C738A">
        <w:rPr>
          <w:rFonts w:ascii="Times New Roman" w:hAnsi="Times New Roman"/>
          <w:sz w:val="24"/>
          <w:szCs w:val="24"/>
        </w:rPr>
        <w:t>ie</w:t>
      </w:r>
      <w:r w:rsidRPr="004C738A">
        <w:rPr>
          <w:rFonts w:ascii="Times New Roman" w:hAnsi="Times New Roman"/>
          <w:sz w:val="24"/>
          <w:szCs w:val="24"/>
        </w:rPr>
        <w:t xml:space="preserve"> jüngsten</w:t>
      </w:r>
      <w:r w:rsidR="005E6D06" w:rsidRPr="004C738A">
        <w:rPr>
          <w:rFonts w:ascii="Times New Roman" w:hAnsi="Times New Roman"/>
          <w:sz w:val="24"/>
          <w:szCs w:val="24"/>
        </w:rPr>
        <w:t xml:space="preserve"> Vorgänge </w:t>
      </w:r>
      <w:r w:rsidR="001326C6" w:rsidRPr="004C738A">
        <w:rPr>
          <w:rFonts w:ascii="Times New Roman" w:hAnsi="Times New Roman"/>
          <w:sz w:val="24"/>
          <w:szCs w:val="24"/>
        </w:rPr>
        <w:t>in der Türkei</w:t>
      </w:r>
      <w:r w:rsidRPr="004C738A">
        <w:rPr>
          <w:rFonts w:ascii="Times New Roman" w:hAnsi="Times New Roman"/>
          <w:sz w:val="24"/>
          <w:szCs w:val="24"/>
        </w:rPr>
        <w:t xml:space="preserve"> stellen freilich alles in den Schatten</w:t>
      </w:r>
      <w:r w:rsidR="001326C6" w:rsidRPr="004C738A">
        <w:rPr>
          <w:rFonts w:ascii="Times New Roman" w:hAnsi="Times New Roman"/>
          <w:sz w:val="24"/>
          <w:szCs w:val="24"/>
        </w:rPr>
        <w:t xml:space="preserve">. </w:t>
      </w:r>
      <w:r w:rsidR="005E6D06" w:rsidRPr="004C738A">
        <w:rPr>
          <w:rFonts w:ascii="Times New Roman" w:hAnsi="Times New Roman"/>
          <w:sz w:val="24"/>
          <w:szCs w:val="24"/>
        </w:rPr>
        <w:t>Zwar ist die</w:t>
      </w:r>
      <w:r w:rsidRPr="004C738A">
        <w:rPr>
          <w:rFonts w:ascii="Times New Roman" w:hAnsi="Times New Roman"/>
          <w:sz w:val="24"/>
          <w:szCs w:val="24"/>
        </w:rPr>
        <w:t xml:space="preserve"> Türkei</w:t>
      </w:r>
      <w:r w:rsidR="005E6D06" w:rsidRPr="004C738A">
        <w:rPr>
          <w:rFonts w:ascii="Times New Roman" w:hAnsi="Times New Roman"/>
          <w:sz w:val="24"/>
          <w:szCs w:val="24"/>
        </w:rPr>
        <w:t xml:space="preserve"> nicht Mitglied der Europäischen Union, wohl aber des </w:t>
      </w:r>
      <w:r w:rsidR="001326C6" w:rsidRPr="004C738A">
        <w:rPr>
          <w:rFonts w:ascii="Times New Roman" w:hAnsi="Times New Roman"/>
          <w:sz w:val="24"/>
          <w:szCs w:val="24"/>
        </w:rPr>
        <w:t>Europarat</w:t>
      </w:r>
      <w:r w:rsidR="005E6D06" w:rsidRPr="004C738A">
        <w:rPr>
          <w:rFonts w:ascii="Times New Roman" w:hAnsi="Times New Roman"/>
          <w:sz w:val="24"/>
          <w:szCs w:val="24"/>
        </w:rPr>
        <w:t xml:space="preserve">s und </w:t>
      </w:r>
      <w:r w:rsidR="001326C6" w:rsidRPr="004C738A">
        <w:rPr>
          <w:rFonts w:ascii="Times New Roman" w:hAnsi="Times New Roman"/>
          <w:sz w:val="24"/>
          <w:szCs w:val="24"/>
        </w:rPr>
        <w:t>der NATO</w:t>
      </w:r>
      <w:r w:rsidR="005E6D06" w:rsidRPr="004C738A">
        <w:rPr>
          <w:rFonts w:ascii="Times New Roman" w:hAnsi="Times New Roman"/>
          <w:sz w:val="24"/>
          <w:szCs w:val="24"/>
        </w:rPr>
        <w:t xml:space="preserve">. </w:t>
      </w:r>
      <w:r w:rsidRPr="004C738A">
        <w:rPr>
          <w:rFonts w:ascii="Times New Roman" w:hAnsi="Times New Roman"/>
          <w:sz w:val="24"/>
          <w:szCs w:val="24"/>
        </w:rPr>
        <w:t xml:space="preserve">Auch für sie gilt die Europäische Menschenrechtskonvention. </w:t>
      </w:r>
      <w:r w:rsidR="00AF444B" w:rsidRPr="004C738A">
        <w:rPr>
          <w:rFonts w:ascii="Times New Roman" w:hAnsi="Times New Roman"/>
          <w:sz w:val="24"/>
          <w:szCs w:val="24"/>
        </w:rPr>
        <w:t xml:space="preserve">Gleichwohl muss insoweit </w:t>
      </w:r>
      <w:r w:rsidR="005E6D06" w:rsidRPr="004C738A">
        <w:rPr>
          <w:rFonts w:ascii="Times New Roman" w:hAnsi="Times New Roman"/>
          <w:sz w:val="24"/>
          <w:szCs w:val="24"/>
        </w:rPr>
        <w:t xml:space="preserve">die </w:t>
      </w:r>
      <w:r w:rsidR="001326C6" w:rsidRPr="004C738A">
        <w:rPr>
          <w:rFonts w:ascii="Times New Roman" w:hAnsi="Times New Roman"/>
          <w:sz w:val="24"/>
          <w:szCs w:val="24"/>
        </w:rPr>
        <w:t>Umwan</w:t>
      </w:r>
      <w:r w:rsidR="001326C6" w:rsidRPr="004C738A">
        <w:rPr>
          <w:rFonts w:ascii="Times New Roman" w:hAnsi="Times New Roman"/>
          <w:sz w:val="24"/>
          <w:szCs w:val="24"/>
        </w:rPr>
        <w:t>d</w:t>
      </w:r>
      <w:r w:rsidR="001326C6" w:rsidRPr="004C738A">
        <w:rPr>
          <w:rFonts w:ascii="Times New Roman" w:hAnsi="Times New Roman"/>
          <w:sz w:val="24"/>
          <w:szCs w:val="24"/>
        </w:rPr>
        <w:t xml:space="preserve">lung </w:t>
      </w:r>
      <w:r w:rsidR="005E6D06" w:rsidRPr="004C738A">
        <w:rPr>
          <w:rFonts w:ascii="Times New Roman" w:hAnsi="Times New Roman"/>
          <w:sz w:val="24"/>
          <w:szCs w:val="24"/>
        </w:rPr>
        <w:t xml:space="preserve">eines </w:t>
      </w:r>
      <w:r w:rsidR="001326C6" w:rsidRPr="004C738A">
        <w:rPr>
          <w:rFonts w:ascii="Times New Roman" w:hAnsi="Times New Roman"/>
          <w:sz w:val="24"/>
          <w:szCs w:val="24"/>
        </w:rPr>
        <w:t>ehedem einigermaßen funktionierenden demokratischen Rechtsstaats in eine aut</w:t>
      </w:r>
      <w:r w:rsidR="001326C6" w:rsidRPr="004C738A">
        <w:rPr>
          <w:rFonts w:ascii="Times New Roman" w:hAnsi="Times New Roman"/>
          <w:sz w:val="24"/>
          <w:szCs w:val="24"/>
        </w:rPr>
        <w:t>o</w:t>
      </w:r>
      <w:r w:rsidR="001326C6" w:rsidRPr="004C738A">
        <w:rPr>
          <w:rFonts w:ascii="Times New Roman" w:hAnsi="Times New Roman"/>
          <w:sz w:val="24"/>
          <w:szCs w:val="24"/>
        </w:rPr>
        <w:t xml:space="preserve">kratische Willkürherrschaft </w:t>
      </w:r>
      <w:r w:rsidR="005E6D06" w:rsidRPr="004C738A">
        <w:rPr>
          <w:rFonts w:ascii="Times New Roman" w:hAnsi="Times New Roman"/>
          <w:sz w:val="24"/>
          <w:szCs w:val="24"/>
        </w:rPr>
        <w:t>konstatier</w:t>
      </w:r>
      <w:r w:rsidR="00AF444B" w:rsidRPr="004C738A">
        <w:rPr>
          <w:rFonts w:ascii="Times New Roman" w:hAnsi="Times New Roman"/>
          <w:sz w:val="24"/>
          <w:szCs w:val="24"/>
        </w:rPr>
        <w:t>t werd</w:t>
      </w:r>
      <w:r w:rsidR="005E6D06" w:rsidRPr="004C738A">
        <w:rPr>
          <w:rFonts w:ascii="Times New Roman" w:hAnsi="Times New Roman"/>
          <w:sz w:val="24"/>
          <w:szCs w:val="24"/>
        </w:rPr>
        <w:t>en, die die Werte der Demokratie, des Recht</w:t>
      </w:r>
      <w:r w:rsidR="005E6D06" w:rsidRPr="004C738A">
        <w:rPr>
          <w:rFonts w:ascii="Times New Roman" w:hAnsi="Times New Roman"/>
          <w:sz w:val="24"/>
          <w:szCs w:val="24"/>
        </w:rPr>
        <w:t>s</w:t>
      </w:r>
      <w:r w:rsidR="005E6D06" w:rsidRPr="004C738A">
        <w:rPr>
          <w:rFonts w:ascii="Times New Roman" w:hAnsi="Times New Roman"/>
          <w:sz w:val="24"/>
          <w:szCs w:val="24"/>
        </w:rPr>
        <w:t xml:space="preserve">staats und der Freiheit spätestens seit dem </w:t>
      </w:r>
      <w:r w:rsidR="009F0083" w:rsidRPr="004C738A">
        <w:rPr>
          <w:rFonts w:ascii="Times New Roman" w:hAnsi="Times New Roman"/>
          <w:sz w:val="24"/>
          <w:szCs w:val="24"/>
        </w:rPr>
        <w:t>„</w:t>
      </w:r>
      <w:r w:rsidR="001326C6" w:rsidRPr="004C738A">
        <w:rPr>
          <w:rFonts w:ascii="Times New Roman" w:hAnsi="Times New Roman"/>
          <w:sz w:val="24"/>
          <w:szCs w:val="24"/>
        </w:rPr>
        <w:t>Putschversuch</w:t>
      </w:r>
      <w:r w:rsidR="009F0083" w:rsidRPr="004C738A">
        <w:rPr>
          <w:rFonts w:ascii="Times New Roman" w:hAnsi="Times New Roman"/>
          <w:sz w:val="24"/>
          <w:szCs w:val="24"/>
        </w:rPr>
        <w:t>“</w:t>
      </w:r>
      <w:r w:rsidR="001326C6" w:rsidRPr="004C738A">
        <w:rPr>
          <w:rFonts w:ascii="Times New Roman" w:hAnsi="Times New Roman"/>
          <w:sz w:val="24"/>
          <w:szCs w:val="24"/>
        </w:rPr>
        <w:t xml:space="preserve"> vom Juli 2016 </w:t>
      </w:r>
      <w:r w:rsidR="005E6D06" w:rsidRPr="004C738A">
        <w:rPr>
          <w:rFonts w:ascii="Times New Roman" w:hAnsi="Times New Roman"/>
          <w:sz w:val="24"/>
          <w:szCs w:val="24"/>
        </w:rPr>
        <w:t>mit Füßen tritt</w:t>
      </w:r>
      <w:r w:rsidR="001326C6" w:rsidRPr="004C738A">
        <w:rPr>
          <w:rFonts w:ascii="Times New Roman" w:hAnsi="Times New Roman"/>
          <w:sz w:val="24"/>
          <w:szCs w:val="24"/>
        </w:rPr>
        <w:t>.</w:t>
      </w:r>
    </w:p>
    <w:p w:rsidR="005E6D06" w:rsidRPr="004C738A" w:rsidRDefault="005E6D06" w:rsidP="00A25B22">
      <w:pPr>
        <w:rPr>
          <w:rFonts w:ascii="Times New Roman" w:hAnsi="Times New Roman"/>
          <w:sz w:val="24"/>
          <w:szCs w:val="24"/>
        </w:rPr>
      </w:pPr>
    </w:p>
    <w:p w:rsidR="00FA2531" w:rsidRPr="004C738A" w:rsidRDefault="005E6D06" w:rsidP="00A25B22">
      <w:pPr>
        <w:rPr>
          <w:rFonts w:ascii="Times New Roman" w:hAnsi="Times New Roman"/>
          <w:sz w:val="24"/>
          <w:szCs w:val="24"/>
        </w:rPr>
      </w:pPr>
      <w:r w:rsidRPr="004C738A">
        <w:rPr>
          <w:rFonts w:ascii="Times New Roman" w:hAnsi="Times New Roman"/>
          <w:sz w:val="24"/>
          <w:szCs w:val="24"/>
        </w:rPr>
        <w:t>Zu den ersten Opfern der autoritären Umgestaltung gehört</w:t>
      </w:r>
      <w:r w:rsidR="009F0083" w:rsidRPr="004C738A">
        <w:rPr>
          <w:rFonts w:ascii="Times New Roman" w:hAnsi="Times New Roman"/>
          <w:sz w:val="24"/>
          <w:szCs w:val="24"/>
        </w:rPr>
        <w:t>e</w:t>
      </w:r>
      <w:r w:rsidR="008454D7" w:rsidRPr="004C738A">
        <w:rPr>
          <w:rFonts w:ascii="Times New Roman" w:hAnsi="Times New Roman"/>
          <w:sz w:val="24"/>
          <w:szCs w:val="24"/>
        </w:rPr>
        <w:t xml:space="preserve"> auch in der Türkei</w:t>
      </w:r>
      <w:r w:rsidRPr="004C738A">
        <w:rPr>
          <w:rFonts w:ascii="Times New Roman" w:hAnsi="Times New Roman"/>
          <w:sz w:val="24"/>
          <w:szCs w:val="24"/>
        </w:rPr>
        <w:t xml:space="preserve"> die Justiz. </w:t>
      </w:r>
      <w:r w:rsidR="009F0083" w:rsidRPr="004C738A">
        <w:rPr>
          <w:rFonts w:ascii="Times New Roman" w:hAnsi="Times New Roman"/>
          <w:sz w:val="24"/>
          <w:szCs w:val="24"/>
        </w:rPr>
        <w:t xml:space="preserve">So sind seit Sommer 2016 </w:t>
      </w:r>
      <w:r w:rsidRPr="004C738A">
        <w:rPr>
          <w:rFonts w:ascii="Times New Roman" w:hAnsi="Times New Roman"/>
          <w:sz w:val="24"/>
          <w:szCs w:val="24"/>
        </w:rPr>
        <w:t>ca. 3.500 – 4.500 Richter, d. h. etwa ein Drittel aller Richter des La</w:t>
      </w:r>
      <w:r w:rsidRPr="004C738A">
        <w:rPr>
          <w:rFonts w:ascii="Times New Roman" w:hAnsi="Times New Roman"/>
          <w:sz w:val="24"/>
          <w:szCs w:val="24"/>
        </w:rPr>
        <w:t>n</w:t>
      </w:r>
      <w:r w:rsidRPr="004C738A">
        <w:rPr>
          <w:rFonts w:ascii="Times New Roman" w:hAnsi="Times New Roman"/>
          <w:sz w:val="24"/>
          <w:szCs w:val="24"/>
        </w:rPr>
        <w:t xml:space="preserve">des, </w:t>
      </w:r>
      <w:r w:rsidR="00573248" w:rsidRPr="004C738A">
        <w:rPr>
          <w:rFonts w:ascii="Times New Roman" w:hAnsi="Times New Roman"/>
          <w:sz w:val="24"/>
          <w:szCs w:val="24"/>
        </w:rPr>
        <w:t xml:space="preserve">entlassen worden, davon 173 Richter der obersten Gerichtshöfe. Mit der Entlassung allein hatte es </w:t>
      </w:r>
      <w:r w:rsidR="008454D7" w:rsidRPr="004C738A">
        <w:rPr>
          <w:rFonts w:ascii="Times New Roman" w:hAnsi="Times New Roman"/>
          <w:sz w:val="24"/>
          <w:szCs w:val="24"/>
        </w:rPr>
        <w:t xml:space="preserve">allerdings </w:t>
      </w:r>
      <w:r w:rsidR="00573248" w:rsidRPr="004C738A">
        <w:rPr>
          <w:rFonts w:ascii="Times New Roman" w:hAnsi="Times New Roman"/>
          <w:sz w:val="24"/>
          <w:szCs w:val="24"/>
        </w:rPr>
        <w:t xml:space="preserve">nicht sein Bewenden: </w:t>
      </w:r>
      <w:r w:rsidR="0009254D">
        <w:rPr>
          <w:rFonts w:ascii="Times New Roman" w:hAnsi="Times New Roman"/>
          <w:sz w:val="24"/>
          <w:szCs w:val="24"/>
        </w:rPr>
        <w:t>D</w:t>
      </w:r>
      <w:r w:rsidR="0009254D" w:rsidRPr="004C738A">
        <w:rPr>
          <w:rFonts w:ascii="Times New Roman" w:hAnsi="Times New Roman"/>
          <w:sz w:val="24"/>
          <w:szCs w:val="24"/>
        </w:rPr>
        <w:t xml:space="preserve">en </w:t>
      </w:r>
      <w:r w:rsidR="009F0083" w:rsidRPr="004C738A">
        <w:rPr>
          <w:rFonts w:ascii="Times New Roman" w:hAnsi="Times New Roman"/>
          <w:sz w:val="24"/>
          <w:szCs w:val="24"/>
        </w:rPr>
        <w:t xml:space="preserve">Betroffenen und ihren Familien </w:t>
      </w:r>
      <w:r w:rsidR="008454D7" w:rsidRPr="004C738A">
        <w:rPr>
          <w:rFonts w:ascii="Times New Roman" w:hAnsi="Times New Roman"/>
          <w:sz w:val="24"/>
          <w:szCs w:val="24"/>
        </w:rPr>
        <w:t xml:space="preserve">wurde das </w:t>
      </w:r>
      <w:r w:rsidR="00573248" w:rsidRPr="004C738A">
        <w:rPr>
          <w:rFonts w:ascii="Times New Roman" w:hAnsi="Times New Roman"/>
          <w:sz w:val="24"/>
          <w:szCs w:val="24"/>
        </w:rPr>
        <w:t>G</w:t>
      </w:r>
      <w:r w:rsidR="00573248" w:rsidRPr="004C738A">
        <w:rPr>
          <w:rFonts w:ascii="Times New Roman" w:hAnsi="Times New Roman"/>
          <w:sz w:val="24"/>
          <w:szCs w:val="24"/>
        </w:rPr>
        <w:t>e</w:t>
      </w:r>
      <w:r w:rsidR="00573248" w:rsidRPr="004C738A">
        <w:rPr>
          <w:rFonts w:ascii="Times New Roman" w:hAnsi="Times New Roman"/>
          <w:sz w:val="24"/>
          <w:szCs w:val="24"/>
        </w:rPr>
        <w:t xml:space="preserve">halt </w:t>
      </w:r>
      <w:r w:rsidR="008454D7" w:rsidRPr="004C738A">
        <w:rPr>
          <w:rFonts w:ascii="Times New Roman" w:hAnsi="Times New Roman"/>
          <w:sz w:val="24"/>
          <w:szCs w:val="24"/>
        </w:rPr>
        <w:t>gestrichen</w:t>
      </w:r>
      <w:r w:rsidR="00573248" w:rsidRPr="004C738A">
        <w:rPr>
          <w:rFonts w:ascii="Times New Roman" w:hAnsi="Times New Roman"/>
          <w:sz w:val="24"/>
          <w:szCs w:val="24"/>
        </w:rPr>
        <w:t xml:space="preserve">, </w:t>
      </w:r>
      <w:r w:rsidR="009F0083" w:rsidRPr="004C738A">
        <w:rPr>
          <w:rFonts w:ascii="Times New Roman" w:hAnsi="Times New Roman"/>
          <w:sz w:val="24"/>
          <w:szCs w:val="24"/>
        </w:rPr>
        <w:t xml:space="preserve">die </w:t>
      </w:r>
      <w:r w:rsidR="00573248" w:rsidRPr="004C738A">
        <w:rPr>
          <w:rFonts w:ascii="Times New Roman" w:hAnsi="Times New Roman"/>
          <w:sz w:val="24"/>
          <w:szCs w:val="24"/>
        </w:rPr>
        <w:t>Pässe eingezogen, Konten gesperrt</w:t>
      </w:r>
      <w:r w:rsidR="008454D7" w:rsidRPr="004C738A">
        <w:rPr>
          <w:rFonts w:ascii="Times New Roman" w:hAnsi="Times New Roman"/>
          <w:sz w:val="24"/>
          <w:szCs w:val="24"/>
        </w:rPr>
        <w:t xml:space="preserve"> und das </w:t>
      </w:r>
      <w:r w:rsidR="00573248" w:rsidRPr="004C738A">
        <w:rPr>
          <w:rFonts w:ascii="Times New Roman" w:hAnsi="Times New Roman"/>
          <w:sz w:val="24"/>
          <w:szCs w:val="24"/>
        </w:rPr>
        <w:t>Vermögen konfisziert. Mehr</w:t>
      </w:r>
      <w:r w:rsidR="00573248" w:rsidRPr="004C738A">
        <w:rPr>
          <w:rFonts w:ascii="Times New Roman" w:hAnsi="Times New Roman"/>
          <w:sz w:val="24"/>
          <w:szCs w:val="24"/>
        </w:rPr>
        <w:t>e</w:t>
      </w:r>
      <w:r w:rsidR="00573248" w:rsidRPr="004C738A">
        <w:rPr>
          <w:rFonts w:ascii="Times New Roman" w:hAnsi="Times New Roman"/>
          <w:sz w:val="24"/>
          <w:szCs w:val="24"/>
        </w:rPr>
        <w:t>re 10.000 Menschen sitzen</w:t>
      </w:r>
      <w:r w:rsidR="008454D7" w:rsidRPr="004C738A">
        <w:rPr>
          <w:rFonts w:ascii="Times New Roman" w:hAnsi="Times New Roman"/>
          <w:sz w:val="24"/>
          <w:szCs w:val="24"/>
        </w:rPr>
        <w:t xml:space="preserve"> zudem</w:t>
      </w:r>
      <w:r w:rsidR="00573248" w:rsidRPr="004C738A">
        <w:rPr>
          <w:rFonts w:ascii="Times New Roman" w:hAnsi="Times New Roman"/>
          <w:sz w:val="24"/>
          <w:szCs w:val="24"/>
        </w:rPr>
        <w:t xml:space="preserve"> in Untersuchungshaft, darunter nicht wenige Angehörige der Justiz.</w:t>
      </w:r>
      <w:r w:rsidR="009F0083" w:rsidRPr="004C738A">
        <w:rPr>
          <w:rFonts w:ascii="Times New Roman" w:hAnsi="Times New Roman"/>
          <w:sz w:val="24"/>
          <w:szCs w:val="24"/>
        </w:rPr>
        <w:t xml:space="preserve"> </w:t>
      </w:r>
      <w:r w:rsidR="00FA2531" w:rsidRPr="004C738A">
        <w:rPr>
          <w:rFonts w:ascii="Times New Roman" w:hAnsi="Times New Roman"/>
          <w:sz w:val="24"/>
          <w:szCs w:val="24"/>
        </w:rPr>
        <w:t xml:space="preserve">Gleichzeitig hat Staatspräsident </w:t>
      </w:r>
      <w:r w:rsidR="00FA2531" w:rsidRPr="004C738A">
        <w:rPr>
          <w:rFonts w:ascii="Times New Roman" w:hAnsi="Times New Roman"/>
          <w:i/>
          <w:sz w:val="24"/>
          <w:szCs w:val="24"/>
        </w:rPr>
        <w:t xml:space="preserve">Erdogan </w:t>
      </w:r>
      <w:r w:rsidR="00FA2531" w:rsidRPr="004C738A">
        <w:rPr>
          <w:rFonts w:ascii="Times New Roman" w:hAnsi="Times New Roman"/>
          <w:sz w:val="24"/>
          <w:szCs w:val="24"/>
        </w:rPr>
        <w:t xml:space="preserve">ein neben der regulären Justiz stehendes System von „Friedensgerichten“ errichtet, die sich vor allem als Vollstrecker des Willens der politischen Führung verstehen sollen. </w:t>
      </w:r>
    </w:p>
    <w:p w:rsidR="00FA2531" w:rsidRPr="004C738A" w:rsidRDefault="00FA2531" w:rsidP="00A25B22">
      <w:pPr>
        <w:rPr>
          <w:rFonts w:ascii="Times New Roman" w:hAnsi="Times New Roman"/>
          <w:sz w:val="24"/>
          <w:szCs w:val="24"/>
        </w:rPr>
      </w:pPr>
    </w:p>
    <w:p w:rsidR="009F0083" w:rsidRPr="004C738A" w:rsidRDefault="00D83CAB" w:rsidP="00A25B22">
      <w:pPr>
        <w:rPr>
          <w:rFonts w:ascii="Times New Roman" w:hAnsi="Times New Roman"/>
          <w:sz w:val="24"/>
          <w:szCs w:val="24"/>
        </w:rPr>
      </w:pPr>
      <w:r w:rsidRPr="004C738A">
        <w:rPr>
          <w:rFonts w:ascii="Times New Roman" w:hAnsi="Times New Roman"/>
          <w:sz w:val="24"/>
          <w:szCs w:val="24"/>
        </w:rPr>
        <w:t xml:space="preserve">Wie in einem Brennglas erscheint diese Entwicklung in einer </w:t>
      </w:r>
      <w:r w:rsidR="009F0083" w:rsidRPr="004C738A">
        <w:rPr>
          <w:rFonts w:ascii="Times New Roman" w:hAnsi="Times New Roman"/>
          <w:sz w:val="24"/>
          <w:szCs w:val="24"/>
        </w:rPr>
        <w:t>Entscheidung des türkischen Verfassungsgerichts</w:t>
      </w:r>
      <w:r w:rsidR="00FA2531" w:rsidRPr="004C738A">
        <w:rPr>
          <w:rFonts w:ascii="Times New Roman" w:hAnsi="Times New Roman"/>
          <w:sz w:val="24"/>
          <w:szCs w:val="24"/>
        </w:rPr>
        <w:t xml:space="preserve"> vom 4</w:t>
      </w:r>
      <w:r w:rsidR="0009254D" w:rsidRPr="004C738A">
        <w:rPr>
          <w:rFonts w:ascii="Times New Roman" w:hAnsi="Times New Roman"/>
          <w:sz w:val="24"/>
          <w:szCs w:val="24"/>
        </w:rPr>
        <w:t>.</w:t>
      </w:r>
      <w:r w:rsidR="0009254D">
        <w:rPr>
          <w:rFonts w:ascii="Times New Roman" w:hAnsi="Times New Roman"/>
          <w:sz w:val="24"/>
          <w:szCs w:val="24"/>
        </w:rPr>
        <w:t> </w:t>
      </w:r>
      <w:r w:rsidR="00FA2531" w:rsidRPr="004C738A">
        <w:rPr>
          <w:rFonts w:ascii="Times New Roman" w:hAnsi="Times New Roman"/>
          <w:sz w:val="24"/>
          <w:szCs w:val="24"/>
        </w:rPr>
        <w:t>August 2016</w:t>
      </w:r>
      <w:r w:rsidR="009F0083" w:rsidRPr="004C738A">
        <w:rPr>
          <w:rFonts w:ascii="Times New Roman" w:hAnsi="Times New Roman"/>
          <w:sz w:val="24"/>
          <w:szCs w:val="24"/>
        </w:rPr>
        <w:t xml:space="preserve"> über die Amtsenthebung der Verfassungsrichter </w:t>
      </w:r>
      <w:r w:rsidR="009F0083" w:rsidRPr="004C738A">
        <w:rPr>
          <w:rFonts w:ascii="Times New Roman" w:hAnsi="Times New Roman"/>
          <w:i/>
          <w:sz w:val="24"/>
          <w:szCs w:val="24"/>
        </w:rPr>
        <w:t xml:space="preserve">Alparslan Altan </w:t>
      </w:r>
      <w:r w:rsidR="009F0083" w:rsidRPr="004C738A">
        <w:rPr>
          <w:rFonts w:ascii="Times New Roman" w:hAnsi="Times New Roman"/>
          <w:sz w:val="24"/>
          <w:szCs w:val="24"/>
        </w:rPr>
        <w:t xml:space="preserve">und </w:t>
      </w:r>
      <w:r w:rsidR="009F0083" w:rsidRPr="004C738A">
        <w:rPr>
          <w:rFonts w:ascii="Times New Roman" w:hAnsi="Times New Roman"/>
          <w:i/>
          <w:sz w:val="24"/>
          <w:szCs w:val="24"/>
        </w:rPr>
        <w:t>Erdal Tercan</w:t>
      </w:r>
      <w:r w:rsidRPr="004C738A">
        <w:rPr>
          <w:rFonts w:ascii="Times New Roman" w:hAnsi="Times New Roman"/>
          <w:sz w:val="24"/>
          <w:szCs w:val="24"/>
        </w:rPr>
        <w:t>:</w:t>
      </w:r>
      <w:r w:rsidR="00FA2531" w:rsidRPr="004C738A">
        <w:rPr>
          <w:rStyle w:val="Funotenzeichen"/>
          <w:rFonts w:ascii="Times New Roman" w:hAnsi="Times New Roman" w:cs="Times New Roman"/>
          <w:sz w:val="24"/>
          <w:szCs w:val="24"/>
        </w:rPr>
        <w:footnoteReference w:id="31"/>
      </w:r>
    </w:p>
    <w:p w:rsidR="00F5359B" w:rsidRPr="004C738A" w:rsidRDefault="00F5359B" w:rsidP="00D21E0A">
      <w:pPr>
        <w:pStyle w:val="Zitat"/>
      </w:pPr>
    </w:p>
    <w:p w:rsidR="00FA2531" w:rsidRPr="00D21E0A" w:rsidRDefault="00FA2531" w:rsidP="00D21E0A">
      <w:pPr>
        <w:pStyle w:val="Zitat"/>
      </w:pPr>
      <w:r w:rsidRPr="00D21E0A">
        <w:t>„[91] Im Rahmen der durch die Generalstaatsanwaltschaft Ankara eingeleiteten E</w:t>
      </w:r>
      <w:r w:rsidRPr="00D21E0A">
        <w:t>r</w:t>
      </w:r>
      <w:r w:rsidRPr="00D21E0A">
        <w:t>mittlungen … wurden die Mitglieder des Verfassungsgerichts Alparsan Altan und Erdal Tercan am 16.7.2016 wegen des Tatvorwurfs, Mitglieder der Terrororganisation FETÖ/PDY (…) zu sein, in Untersuchungshaft genommen.</w:t>
      </w:r>
    </w:p>
    <w:p w:rsidR="003F70FC" w:rsidRPr="006A6D36" w:rsidRDefault="003F70FC">
      <w:pPr>
        <w:rPr>
          <w:rFonts w:ascii="Times New Roman" w:hAnsi="Times New Roman"/>
          <w:sz w:val="24"/>
          <w:szCs w:val="24"/>
        </w:rPr>
      </w:pPr>
    </w:p>
    <w:p w:rsidR="00D83CAB" w:rsidRPr="00D21E0A" w:rsidRDefault="00D83CAB" w:rsidP="00D21E0A">
      <w:pPr>
        <w:pStyle w:val="Zitat"/>
      </w:pPr>
      <w:r w:rsidRPr="00D21E0A">
        <w:t>[92] Die oben genannten Mitglieder (…) wurden von unterschiedlichen Strafrichtern vernommen und anschließend wurde gegen sie wegen des Tatvorwurfs „Mitglied einer bewaffneten Terrororganisation zu sein“, am 20. 7. 2016 ein Haftbefehl erlassen. Das Friedensgericht (…) hat am 1.8.2016 einen dinglichen Arrest in das Vermögen der beiden Mitglieder angeordnet.</w:t>
      </w:r>
    </w:p>
    <w:p w:rsidR="0009254D" w:rsidRPr="001D75DC" w:rsidRDefault="0009254D" w:rsidP="001D75DC"/>
    <w:p w:rsidR="00D83CAB" w:rsidRPr="006A6D36" w:rsidRDefault="00D83CAB">
      <w:pPr>
        <w:pStyle w:val="Zitat"/>
      </w:pPr>
      <w:r w:rsidRPr="00D21E0A">
        <w:t>[93] Die Mitglieder</w:t>
      </w:r>
      <w:r w:rsidRPr="00D21E0A">
        <w:rPr>
          <w:color w:val="auto"/>
        </w:rPr>
        <w:t xml:space="preserve"> </w:t>
      </w:r>
      <w:r w:rsidRPr="00D21E0A">
        <w:t>Alparsan Altan und Erdal Tercan haben im Rahmen der strafrech</w:t>
      </w:r>
      <w:r w:rsidRPr="00D21E0A">
        <w:t>t</w:t>
      </w:r>
      <w:r w:rsidRPr="00D21E0A">
        <w:t>lichen Ermittlungen den gegen sie gerichteten Tatvorwurf bestritten.</w:t>
      </w:r>
    </w:p>
    <w:p w:rsidR="003F70FC" w:rsidRPr="00D21E0A" w:rsidRDefault="003F70FC">
      <w:pPr>
        <w:rPr>
          <w:rFonts w:ascii="Times New Roman" w:hAnsi="Times New Roman"/>
          <w:sz w:val="24"/>
          <w:szCs w:val="24"/>
        </w:rPr>
      </w:pPr>
    </w:p>
    <w:p w:rsidR="00D83CAB" w:rsidRPr="00D21E0A" w:rsidRDefault="00D83CAB" w:rsidP="00D21E0A">
      <w:pPr>
        <w:pStyle w:val="Zitat"/>
      </w:pPr>
      <w:r w:rsidRPr="00D21E0A">
        <w:t>[94] Gemäß Art. 3 der Rechtsverordnung mit Gesetzeskraft Nr. 667, der die Maßna</w:t>
      </w:r>
      <w:r w:rsidRPr="00D21E0A">
        <w:t>h</w:t>
      </w:r>
      <w:r w:rsidRPr="00D21E0A">
        <w:t>men bezüglich der Ausführung des Ausnahmezustandes regelt, welcher nach dem ve</w:t>
      </w:r>
      <w:r w:rsidRPr="00D21E0A">
        <w:t>r</w:t>
      </w:r>
      <w:r w:rsidRPr="00D21E0A">
        <w:lastRenderedPageBreak/>
        <w:t>suchten Militärputsch verhängt wurde, wurde beschlossen, den rechtlichen Status der Mitglieder</w:t>
      </w:r>
      <w:r w:rsidRPr="001D75DC">
        <w:rPr>
          <w:color w:val="auto"/>
        </w:rPr>
        <w:t xml:space="preserve"> </w:t>
      </w:r>
      <w:r w:rsidRPr="00D21E0A">
        <w:t>Alparsan Altan und Erdal Tercan einer Beurteilung durch die Vollve</w:t>
      </w:r>
      <w:r w:rsidRPr="00D21E0A">
        <w:t>r</w:t>
      </w:r>
      <w:r w:rsidRPr="00D21E0A">
        <w:t>sammlung des Verfassungsgerichts zu unterziehen.</w:t>
      </w:r>
    </w:p>
    <w:p w:rsidR="003F70FC" w:rsidRPr="00D21E0A" w:rsidRDefault="003F70FC">
      <w:pPr>
        <w:rPr>
          <w:rFonts w:ascii="Times New Roman" w:hAnsi="Times New Roman"/>
          <w:sz w:val="24"/>
          <w:szCs w:val="24"/>
        </w:rPr>
      </w:pPr>
    </w:p>
    <w:p w:rsidR="00C25C3C" w:rsidRPr="00D21E0A" w:rsidRDefault="00D83CAB" w:rsidP="00D21E0A">
      <w:pPr>
        <w:pStyle w:val="Zitat"/>
      </w:pPr>
      <w:r w:rsidRPr="00D21E0A">
        <w:t xml:space="preserve">[95] </w:t>
      </w:r>
      <w:r w:rsidR="00C25C3C" w:rsidRPr="00D21E0A">
        <w:t>Die schriftlichen Einlassungen der Mitglieder des Verfassungsgerichts Alparsan Altan und Erdal Tercan wurden entgegengenommen, um diese in die Beurteilung der Vollversammlung des Verfassungsgerichts einzubeziehen. Die oben genannten Mi</w:t>
      </w:r>
      <w:r w:rsidR="00C25C3C" w:rsidRPr="00D21E0A">
        <w:t>t</w:t>
      </w:r>
      <w:r w:rsidR="00C25C3C" w:rsidRPr="00D21E0A">
        <w:t>glieder lassen sich dahingehend ein, dass sie in keiner Verbindung zu FETÖ/PDY stünden. Sie haben für den Fall, dass sie mit konkreten Erkenntnissen oder Beweisen konfrontiert werden, die Einräumung einer erneuten Möglichkeit zur Verteidigung und die Vernehmung der von ihnen benannten Zeugen gefordert.</w:t>
      </w:r>
    </w:p>
    <w:p w:rsidR="003F70FC" w:rsidRPr="00D21E0A" w:rsidRDefault="003F70FC">
      <w:pPr>
        <w:rPr>
          <w:rFonts w:ascii="Times New Roman" w:hAnsi="Times New Roman"/>
          <w:sz w:val="24"/>
          <w:szCs w:val="24"/>
        </w:rPr>
      </w:pPr>
    </w:p>
    <w:p w:rsidR="00C25C3C" w:rsidRPr="00D21E0A" w:rsidRDefault="00C25C3C" w:rsidP="00D21E0A">
      <w:pPr>
        <w:pStyle w:val="Zitat"/>
      </w:pPr>
      <w:r w:rsidRPr="00D21E0A">
        <w:t>[96] Bei der Beurteilung im Rahmen der Rechtsverordnung mit Gesetzeskraft Nr. 667 geht es nicht um die Ermittlung einer konkreten Handlung strafrechtlicher oder diszi</w:t>
      </w:r>
      <w:r w:rsidRPr="00D21E0A">
        <w:t>p</w:t>
      </w:r>
      <w:r w:rsidRPr="00D21E0A">
        <w:t>linarrechtlicher Relevanz, vielmehr handelt es sich hierbei um einen Vorgang der Überzeugungsbildung hinsichtlich der Frage, ob die Mitglieder des Verfassungsg</w:t>
      </w:r>
      <w:r w:rsidRPr="00D21E0A">
        <w:t>e</w:t>
      </w:r>
      <w:r w:rsidRPr="00D21E0A">
        <w:t>richts mit einer bestimmten Organisation in irgendeiner Art und Weise in Verbindung stehen oder nicht. Folglich war es angesichts des Zwecks der Rechtsverordnung mit Gesetzeskraft und der Qualität der Maßnahme unter Berücksichtigung des konkreten Falles erforderlich, über die betroffenen Mitglieder auf der Grundlage der vorhand</w:t>
      </w:r>
      <w:r w:rsidRPr="00D21E0A">
        <w:t>e</w:t>
      </w:r>
      <w:r w:rsidRPr="00D21E0A">
        <w:t>nen Erkenntnisse und Beweismittel eine Beurteilung abzugeben,</w:t>
      </w:r>
    </w:p>
    <w:p w:rsidR="00C25C3C" w:rsidRPr="00D21E0A" w:rsidRDefault="00FF03F7" w:rsidP="006A6D36">
      <w:pPr>
        <w:pStyle w:val="Zitat"/>
      </w:pPr>
      <w:r w:rsidRPr="00D21E0A">
        <w:t>…</w:t>
      </w:r>
    </w:p>
    <w:p w:rsidR="00FF03F7" w:rsidRPr="00D21E0A" w:rsidRDefault="00FF03F7" w:rsidP="006A6D36">
      <w:pPr>
        <w:pStyle w:val="Zitat"/>
      </w:pPr>
      <w:r w:rsidRPr="00D21E0A">
        <w:t>[98] Die o.g. Besonderheiten des konkreten Falles und die Erkenntnisse aus dem s</w:t>
      </w:r>
      <w:r w:rsidRPr="00D21E0A">
        <w:t>o</w:t>
      </w:r>
      <w:r w:rsidRPr="00D21E0A">
        <w:t>zialen Umfeld, die darauf hindeuten, dass die beiden Mitglieder eine Beziehung zu der o.g. Organisation haben, sowie die gemeinsame Überzeugung der einzelnen Mitglieder des Verfassungsgerichts, die sich im Laufe der Zeit gebildet hat, haben in der Gesam</w:t>
      </w:r>
      <w:r w:rsidRPr="00D21E0A">
        <w:t>t</w:t>
      </w:r>
      <w:r w:rsidRPr="00D21E0A">
        <w:t>schau im Rahmen des Art</w:t>
      </w:r>
      <w:r w:rsidR="00AD4D95" w:rsidRPr="00D21E0A">
        <w:t>. </w:t>
      </w:r>
      <w:r w:rsidRPr="00D21E0A">
        <w:t>3 Abs</w:t>
      </w:r>
      <w:r w:rsidR="00AD4D95" w:rsidRPr="00D21E0A">
        <w:t>. </w:t>
      </w:r>
      <w:r w:rsidRPr="00D21E0A">
        <w:t>1 der Rechtsverordnung mit Gesetzeskraft Nr. 667 zu der dahingehenden Beurteilung geführt, dass die Mitglieder Alparsan Altan und Erdal Tercan eine derartige Verbindung zu der o.g. Organisation aufweisen, die au</w:t>
      </w:r>
      <w:r w:rsidRPr="00D21E0A">
        <w:t>f</w:t>
      </w:r>
      <w:r w:rsidRPr="00D21E0A">
        <w:t>grund ihrer Qualität mit der Fortführung der beruflichen Tätigkeit der be</w:t>
      </w:r>
      <w:r w:rsidR="00255908" w:rsidRPr="00D21E0A">
        <w:t>troffenen Mitglieder nicht verei</w:t>
      </w:r>
      <w:r w:rsidRPr="00D21E0A">
        <w:t>nbar ist.</w:t>
      </w:r>
    </w:p>
    <w:p w:rsidR="003F70FC" w:rsidRPr="00D21E0A" w:rsidRDefault="003F70FC">
      <w:pPr>
        <w:rPr>
          <w:rFonts w:ascii="Times New Roman" w:hAnsi="Times New Roman"/>
          <w:sz w:val="24"/>
          <w:szCs w:val="24"/>
        </w:rPr>
      </w:pPr>
    </w:p>
    <w:p w:rsidR="00FF03F7" w:rsidRPr="00D21E0A" w:rsidRDefault="00FF03F7" w:rsidP="00D21E0A">
      <w:pPr>
        <w:pStyle w:val="Zitat"/>
      </w:pPr>
      <w:r w:rsidRPr="00D21E0A">
        <w:t>[99] In Anbetracht der Funktion des Verfassungsgerichts, dessen Hauptaufgabe darin liegt, die demokratische verfassungsrechtliche Grundordnung, die Grundrechte und Grundfreiheiten zu schützen, ist es offensichtlich, dass der Verbleib der so beurteilten Mitglieder in ihrer beruflichen Stellung das Vertrauen in die Justiz sowie das Ansehen derselben beschädigen würde.</w:t>
      </w:r>
      <w:r w:rsidRPr="00D21E0A">
        <w:rPr>
          <w:rStyle w:val="Funotenzeichen"/>
          <w:rFonts w:ascii="Times New Roman" w:hAnsi="Times New Roman" w:cs="Times New Roman"/>
          <w:sz w:val="24"/>
        </w:rPr>
        <w:footnoteReference w:id="32"/>
      </w:r>
    </w:p>
    <w:p w:rsidR="00D83CAB" w:rsidRPr="00D21E0A" w:rsidRDefault="00D83CAB">
      <w:pPr>
        <w:rPr>
          <w:rFonts w:ascii="Times New Roman" w:hAnsi="Times New Roman"/>
          <w:sz w:val="24"/>
          <w:szCs w:val="24"/>
        </w:rPr>
      </w:pPr>
    </w:p>
    <w:p w:rsidR="00287BE9" w:rsidRPr="004C738A" w:rsidRDefault="00287BE9" w:rsidP="00287BE9">
      <w:pPr>
        <w:pStyle w:val="berschrift2"/>
        <w:rPr>
          <w:rFonts w:ascii="Times New Roman" w:hAnsi="Times New Roman" w:cs="Times New Roman"/>
          <w:sz w:val="24"/>
          <w:szCs w:val="24"/>
        </w:rPr>
      </w:pPr>
      <w:bookmarkStart w:id="8" w:name="_Toc498362303"/>
      <w:r w:rsidRPr="004C738A">
        <w:rPr>
          <w:rFonts w:ascii="Times New Roman" w:hAnsi="Times New Roman" w:cs="Times New Roman"/>
          <w:sz w:val="24"/>
          <w:szCs w:val="24"/>
        </w:rPr>
        <w:t>5. Verabsolutierung des „demokratischen Mehrheitswillens“</w:t>
      </w:r>
      <w:bookmarkEnd w:id="8"/>
    </w:p>
    <w:p w:rsidR="007E14DD" w:rsidRPr="004C738A" w:rsidRDefault="007E14DD" w:rsidP="00287BE9">
      <w:pPr>
        <w:rPr>
          <w:rFonts w:ascii="Times New Roman" w:hAnsi="Times New Roman"/>
          <w:sz w:val="24"/>
          <w:szCs w:val="24"/>
        </w:rPr>
      </w:pPr>
      <w:r w:rsidRPr="004C738A">
        <w:rPr>
          <w:rFonts w:ascii="Times New Roman" w:hAnsi="Times New Roman"/>
          <w:sz w:val="24"/>
          <w:szCs w:val="24"/>
        </w:rPr>
        <w:t xml:space="preserve">In allen Fällen geben die Machthaber </w:t>
      </w:r>
      <w:r w:rsidR="00AD4D95">
        <w:rPr>
          <w:rFonts w:ascii="Times New Roman" w:hAnsi="Times New Roman"/>
          <w:sz w:val="24"/>
          <w:szCs w:val="24"/>
        </w:rPr>
        <w:t>–</w:t>
      </w:r>
      <w:r w:rsidR="00AD4D95" w:rsidRPr="004C738A">
        <w:rPr>
          <w:rFonts w:ascii="Times New Roman" w:hAnsi="Times New Roman"/>
          <w:sz w:val="24"/>
          <w:szCs w:val="24"/>
        </w:rPr>
        <w:t xml:space="preserve"> </w:t>
      </w:r>
      <w:r w:rsidRPr="004C738A">
        <w:rPr>
          <w:rFonts w:ascii="Times New Roman" w:hAnsi="Times New Roman"/>
          <w:sz w:val="24"/>
          <w:szCs w:val="24"/>
        </w:rPr>
        <w:t>a</w:t>
      </w:r>
      <w:r w:rsidR="00287BE9" w:rsidRPr="004C738A">
        <w:rPr>
          <w:rFonts w:ascii="Times New Roman" w:hAnsi="Times New Roman"/>
          <w:sz w:val="24"/>
          <w:szCs w:val="24"/>
        </w:rPr>
        <w:t xml:space="preserve">usgesprochen oder unausgesprochen </w:t>
      </w:r>
      <w:r w:rsidRPr="004C738A">
        <w:rPr>
          <w:rFonts w:ascii="Times New Roman" w:hAnsi="Times New Roman"/>
          <w:sz w:val="24"/>
          <w:szCs w:val="24"/>
        </w:rPr>
        <w:t>– vor</w:t>
      </w:r>
      <w:r w:rsidR="00730F3A" w:rsidRPr="004C738A">
        <w:rPr>
          <w:rFonts w:ascii="Times New Roman" w:hAnsi="Times New Roman"/>
          <w:sz w:val="24"/>
          <w:szCs w:val="24"/>
        </w:rPr>
        <w:t>, den Wi</w:t>
      </w:r>
      <w:r w:rsidR="00730F3A" w:rsidRPr="004C738A">
        <w:rPr>
          <w:rFonts w:ascii="Times New Roman" w:hAnsi="Times New Roman"/>
          <w:sz w:val="24"/>
          <w:szCs w:val="24"/>
        </w:rPr>
        <w:t>l</w:t>
      </w:r>
      <w:r w:rsidR="00730F3A" w:rsidRPr="004C738A">
        <w:rPr>
          <w:rFonts w:ascii="Times New Roman" w:hAnsi="Times New Roman"/>
          <w:sz w:val="24"/>
          <w:szCs w:val="24"/>
        </w:rPr>
        <w:t>len der Mehrheit zu vollziehen, und tatsächlich haben sie die</w:t>
      </w:r>
      <w:r w:rsidRPr="004C738A">
        <w:rPr>
          <w:rFonts w:ascii="Times New Roman" w:hAnsi="Times New Roman"/>
          <w:sz w:val="24"/>
          <w:szCs w:val="24"/>
        </w:rPr>
        <w:t xml:space="preserve"> Mehrheit der Bevölkerung, wenn </w:t>
      </w:r>
      <w:r w:rsidR="00730F3A" w:rsidRPr="004C738A">
        <w:rPr>
          <w:rFonts w:ascii="Times New Roman" w:hAnsi="Times New Roman"/>
          <w:sz w:val="24"/>
          <w:szCs w:val="24"/>
        </w:rPr>
        <w:t>auch teilweise nur knapp</w:t>
      </w:r>
      <w:r w:rsidR="00AD4D95">
        <w:rPr>
          <w:rFonts w:ascii="Times New Roman" w:hAnsi="Times New Roman"/>
          <w:sz w:val="24"/>
          <w:szCs w:val="24"/>
        </w:rPr>
        <w:t>,</w:t>
      </w:r>
      <w:r w:rsidRPr="004C738A">
        <w:rPr>
          <w:rFonts w:ascii="Times New Roman" w:hAnsi="Times New Roman"/>
          <w:sz w:val="24"/>
          <w:szCs w:val="24"/>
        </w:rPr>
        <w:t xml:space="preserve"> hinter sich</w:t>
      </w:r>
      <w:r w:rsidR="00730F3A" w:rsidRPr="004C738A">
        <w:rPr>
          <w:rFonts w:ascii="Times New Roman" w:hAnsi="Times New Roman"/>
          <w:sz w:val="24"/>
          <w:szCs w:val="24"/>
        </w:rPr>
        <w:t xml:space="preserve">. </w:t>
      </w:r>
      <w:r w:rsidRPr="004C738A">
        <w:rPr>
          <w:rFonts w:ascii="Times New Roman" w:hAnsi="Times New Roman"/>
          <w:sz w:val="24"/>
          <w:szCs w:val="24"/>
        </w:rPr>
        <w:t>Lässt die Berufung auf eine demokratische Legitimation die geschilderten Vorgänge aber in milderem Licht erscheinen?</w:t>
      </w:r>
    </w:p>
    <w:p w:rsidR="007E14DD" w:rsidRPr="004C738A" w:rsidRDefault="00287BE9" w:rsidP="00287BE9">
      <w:pPr>
        <w:rPr>
          <w:rFonts w:ascii="Times New Roman" w:hAnsi="Times New Roman"/>
          <w:sz w:val="24"/>
          <w:szCs w:val="24"/>
        </w:rPr>
      </w:pPr>
      <w:r w:rsidRPr="004C738A">
        <w:rPr>
          <w:rFonts w:ascii="Times New Roman" w:hAnsi="Times New Roman"/>
          <w:sz w:val="24"/>
          <w:szCs w:val="24"/>
        </w:rPr>
        <w:lastRenderedPageBreak/>
        <w:t>Wenige politische und verfassungsrechtliche Begriffe sind ähnlich positiv konnotiert wie der der Demokratie. Kein politisches System kommt umhin, ihn für sich in Anspruch zu ne</w:t>
      </w:r>
      <w:r w:rsidRPr="004C738A">
        <w:rPr>
          <w:rFonts w:ascii="Times New Roman" w:hAnsi="Times New Roman"/>
          <w:sz w:val="24"/>
          <w:szCs w:val="24"/>
        </w:rPr>
        <w:t>h</w:t>
      </w:r>
      <w:r w:rsidRPr="004C738A">
        <w:rPr>
          <w:rFonts w:ascii="Times New Roman" w:hAnsi="Times New Roman"/>
          <w:sz w:val="24"/>
          <w:szCs w:val="24"/>
        </w:rPr>
        <w:t>men.</w:t>
      </w:r>
      <w:r w:rsidRPr="004C738A">
        <w:rPr>
          <w:rFonts w:ascii="Times New Roman" w:hAnsi="Times New Roman"/>
          <w:sz w:val="24"/>
          <w:szCs w:val="24"/>
          <w:vertAlign w:val="superscript"/>
        </w:rPr>
        <w:footnoteReference w:id="33"/>
      </w:r>
      <w:r w:rsidRPr="004C738A">
        <w:rPr>
          <w:rFonts w:ascii="Times New Roman" w:hAnsi="Times New Roman"/>
          <w:sz w:val="24"/>
          <w:szCs w:val="24"/>
        </w:rPr>
        <w:t xml:space="preserve"> </w:t>
      </w:r>
      <w:r w:rsidRPr="004C738A">
        <w:rPr>
          <w:rFonts w:ascii="Times New Roman" w:hAnsi="Times New Roman"/>
          <w:i/>
          <w:sz w:val="24"/>
          <w:szCs w:val="24"/>
        </w:rPr>
        <w:t xml:space="preserve">Abraham Lincoln´s </w:t>
      </w:r>
      <w:r w:rsidRPr="004C738A">
        <w:rPr>
          <w:rFonts w:ascii="Times New Roman" w:hAnsi="Times New Roman"/>
          <w:sz w:val="24"/>
          <w:szCs w:val="24"/>
        </w:rPr>
        <w:t>Gettysburgh-address, vom „government of the people, by the p</w:t>
      </w:r>
      <w:r w:rsidRPr="004C738A">
        <w:rPr>
          <w:rFonts w:ascii="Times New Roman" w:hAnsi="Times New Roman"/>
          <w:sz w:val="24"/>
          <w:szCs w:val="24"/>
        </w:rPr>
        <w:t>e</w:t>
      </w:r>
      <w:r w:rsidRPr="004C738A">
        <w:rPr>
          <w:rFonts w:ascii="Times New Roman" w:hAnsi="Times New Roman"/>
          <w:sz w:val="24"/>
          <w:szCs w:val="24"/>
        </w:rPr>
        <w:t xml:space="preserve">ople and for the people” ist als </w:t>
      </w:r>
      <w:r w:rsidR="00AD4D95" w:rsidRPr="004C738A">
        <w:rPr>
          <w:rFonts w:ascii="Times New Roman" w:hAnsi="Times New Roman"/>
          <w:sz w:val="24"/>
          <w:szCs w:val="24"/>
        </w:rPr>
        <w:t>„</w:t>
      </w:r>
      <w:r w:rsidRPr="004C738A">
        <w:rPr>
          <w:rFonts w:ascii="Times New Roman" w:hAnsi="Times New Roman"/>
          <w:sz w:val="24"/>
          <w:szCs w:val="24"/>
        </w:rPr>
        <w:t>Selbstregierung und Selbstbestimmung des Volkes”</w:t>
      </w:r>
      <w:r w:rsidRPr="004C738A">
        <w:rPr>
          <w:rFonts w:ascii="Times New Roman" w:hAnsi="Times New Roman"/>
          <w:sz w:val="24"/>
          <w:szCs w:val="24"/>
          <w:vertAlign w:val="superscript"/>
        </w:rPr>
        <w:footnoteReference w:id="34"/>
      </w:r>
      <w:r w:rsidRPr="004C738A">
        <w:rPr>
          <w:rFonts w:ascii="Times New Roman" w:hAnsi="Times New Roman"/>
          <w:sz w:val="24"/>
          <w:szCs w:val="24"/>
        </w:rPr>
        <w:t xml:space="preserve"> heute staatstheoretisches Gemeingut.</w:t>
      </w:r>
    </w:p>
    <w:p w:rsidR="007E14DD" w:rsidRPr="004C738A" w:rsidRDefault="007E14DD" w:rsidP="00287BE9">
      <w:pPr>
        <w:rPr>
          <w:rFonts w:ascii="Times New Roman" w:hAnsi="Times New Roman"/>
          <w:sz w:val="24"/>
          <w:szCs w:val="24"/>
        </w:rPr>
      </w:pPr>
    </w:p>
    <w:p w:rsidR="00287BE9" w:rsidRPr="004C738A" w:rsidRDefault="007E14DD" w:rsidP="00287BE9">
      <w:pPr>
        <w:rPr>
          <w:rFonts w:ascii="Times New Roman" w:hAnsi="Times New Roman"/>
          <w:sz w:val="24"/>
          <w:szCs w:val="24"/>
        </w:rPr>
      </w:pPr>
      <w:r w:rsidRPr="004C738A">
        <w:rPr>
          <w:rFonts w:ascii="Times New Roman" w:hAnsi="Times New Roman"/>
          <w:sz w:val="24"/>
          <w:szCs w:val="24"/>
        </w:rPr>
        <w:t>M</w:t>
      </w:r>
      <w:r w:rsidR="00287BE9" w:rsidRPr="004C738A">
        <w:rPr>
          <w:rFonts w:ascii="Times New Roman" w:hAnsi="Times New Roman"/>
          <w:sz w:val="24"/>
          <w:szCs w:val="24"/>
        </w:rPr>
        <w:t>it dem Begriff der Demokratie</w:t>
      </w:r>
      <w:r w:rsidRPr="004C738A">
        <w:rPr>
          <w:rFonts w:ascii="Times New Roman" w:hAnsi="Times New Roman"/>
          <w:sz w:val="24"/>
          <w:szCs w:val="24"/>
        </w:rPr>
        <w:t xml:space="preserve"> verbinden sich gleichwohl</w:t>
      </w:r>
      <w:r w:rsidR="00287BE9" w:rsidRPr="004C738A">
        <w:rPr>
          <w:rFonts w:ascii="Times New Roman" w:hAnsi="Times New Roman"/>
          <w:sz w:val="24"/>
          <w:szCs w:val="24"/>
        </w:rPr>
        <w:t xml:space="preserve"> sehr unterschiedliche Vorstellu</w:t>
      </w:r>
      <w:r w:rsidR="00287BE9" w:rsidRPr="004C738A">
        <w:rPr>
          <w:rFonts w:ascii="Times New Roman" w:hAnsi="Times New Roman"/>
          <w:sz w:val="24"/>
          <w:szCs w:val="24"/>
        </w:rPr>
        <w:t>n</w:t>
      </w:r>
      <w:r w:rsidR="00287BE9" w:rsidRPr="004C738A">
        <w:rPr>
          <w:rFonts w:ascii="Times New Roman" w:hAnsi="Times New Roman"/>
          <w:sz w:val="24"/>
          <w:szCs w:val="24"/>
        </w:rPr>
        <w:t>gen, Wertentscheidungen und Konzepte. Inhaltlich reicht die Bandbreite der Demokratieve</w:t>
      </w:r>
      <w:r w:rsidR="00287BE9" w:rsidRPr="004C738A">
        <w:rPr>
          <w:rFonts w:ascii="Times New Roman" w:hAnsi="Times New Roman"/>
          <w:sz w:val="24"/>
          <w:szCs w:val="24"/>
        </w:rPr>
        <w:t>r</w:t>
      </w:r>
      <w:r w:rsidR="00287BE9" w:rsidRPr="004C738A">
        <w:rPr>
          <w:rFonts w:ascii="Times New Roman" w:hAnsi="Times New Roman"/>
          <w:sz w:val="24"/>
          <w:szCs w:val="24"/>
        </w:rPr>
        <w:t>ständnisse vom Erfordernis eines engen, nationalstaatlichen, d. h. auf das jeweilige Staatsvolk beschränkten Legitimationszusammenhangs</w:t>
      </w:r>
      <w:r w:rsidR="00287BE9" w:rsidRPr="004C738A">
        <w:rPr>
          <w:rFonts w:ascii="Times New Roman" w:hAnsi="Times New Roman"/>
          <w:sz w:val="24"/>
          <w:szCs w:val="24"/>
          <w:vertAlign w:val="superscript"/>
        </w:rPr>
        <w:footnoteReference w:id="35"/>
      </w:r>
      <w:r w:rsidR="00287BE9" w:rsidRPr="004C738A">
        <w:rPr>
          <w:rFonts w:ascii="Times New Roman" w:hAnsi="Times New Roman"/>
          <w:sz w:val="24"/>
          <w:szCs w:val="24"/>
        </w:rPr>
        <w:t xml:space="preserve"> bis zu einem Ordnungsprinzip, das alles u</w:t>
      </w:r>
      <w:r w:rsidR="00287BE9" w:rsidRPr="004C738A">
        <w:rPr>
          <w:rFonts w:ascii="Times New Roman" w:hAnsi="Times New Roman"/>
          <w:sz w:val="24"/>
          <w:szCs w:val="24"/>
        </w:rPr>
        <w:t>m</w:t>
      </w:r>
      <w:r w:rsidR="00287BE9" w:rsidRPr="004C738A">
        <w:rPr>
          <w:rFonts w:ascii="Times New Roman" w:hAnsi="Times New Roman"/>
          <w:sz w:val="24"/>
          <w:szCs w:val="24"/>
        </w:rPr>
        <w:t>fasst, was unter einer „guten Regierung“ zusammengefasst werden kann. Bei dieser Sicht e</w:t>
      </w:r>
      <w:r w:rsidR="00287BE9" w:rsidRPr="004C738A">
        <w:rPr>
          <w:rFonts w:ascii="Times New Roman" w:hAnsi="Times New Roman"/>
          <w:sz w:val="24"/>
          <w:szCs w:val="24"/>
        </w:rPr>
        <w:t>r</w:t>
      </w:r>
      <w:r w:rsidR="00287BE9" w:rsidRPr="004C738A">
        <w:rPr>
          <w:rFonts w:ascii="Times New Roman" w:hAnsi="Times New Roman"/>
          <w:sz w:val="24"/>
          <w:szCs w:val="24"/>
        </w:rPr>
        <w:t>streckt sich der Gewährleistungsgehalt der Demokratie auch auf Institutionen, Verfahren und Grund</w:t>
      </w:r>
      <w:r w:rsidR="004C656B">
        <w:rPr>
          <w:rFonts w:ascii="Times New Roman" w:hAnsi="Times New Roman"/>
          <w:sz w:val="24"/>
          <w:szCs w:val="24"/>
        </w:rPr>
        <w:softHyphen/>
      </w:r>
      <w:r w:rsidR="00287BE9" w:rsidRPr="004C738A">
        <w:rPr>
          <w:rFonts w:ascii="Times New Roman" w:hAnsi="Times New Roman"/>
          <w:sz w:val="24"/>
          <w:szCs w:val="24"/>
        </w:rPr>
        <w:t>sätze, die (zugleich) dem Legalitätsprinzip, dem Rechtsstaat,</w:t>
      </w:r>
      <w:r w:rsidR="00287BE9" w:rsidRPr="004C738A">
        <w:rPr>
          <w:rFonts w:ascii="Times New Roman" w:hAnsi="Times New Roman"/>
          <w:sz w:val="24"/>
          <w:szCs w:val="24"/>
          <w:vertAlign w:val="superscript"/>
        </w:rPr>
        <w:footnoteReference w:id="36"/>
      </w:r>
      <w:r w:rsidR="00287BE9" w:rsidRPr="004C738A">
        <w:rPr>
          <w:rFonts w:ascii="Times New Roman" w:hAnsi="Times New Roman"/>
          <w:sz w:val="24"/>
          <w:szCs w:val="24"/>
        </w:rPr>
        <w:t xml:space="preserve"> der Republik oder der Sozialstaatlichkeit zugeordnet werden (können). Es kann daher nicht verwundern, dass die Abgrenzung des Demokratiegebotes zu anderen Verfassungsgrundsätzen und </w:t>
      </w:r>
      <w:r w:rsidR="00255908" w:rsidRPr="004C738A">
        <w:rPr>
          <w:rFonts w:ascii="Times New Roman" w:hAnsi="Times New Roman"/>
          <w:sz w:val="24"/>
          <w:szCs w:val="24"/>
        </w:rPr>
        <w:t>-</w:t>
      </w:r>
      <w:r w:rsidR="00287BE9" w:rsidRPr="004C738A">
        <w:rPr>
          <w:rFonts w:ascii="Times New Roman" w:hAnsi="Times New Roman"/>
          <w:sz w:val="24"/>
          <w:szCs w:val="24"/>
        </w:rPr>
        <w:t>prinzipien fl</w:t>
      </w:r>
      <w:r w:rsidR="00287BE9" w:rsidRPr="004C738A">
        <w:rPr>
          <w:rFonts w:ascii="Times New Roman" w:hAnsi="Times New Roman"/>
          <w:sz w:val="24"/>
          <w:szCs w:val="24"/>
        </w:rPr>
        <w:t>ä</w:t>
      </w:r>
      <w:r w:rsidR="00287BE9" w:rsidRPr="004C738A">
        <w:rPr>
          <w:rFonts w:ascii="Times New Roman" w:hAnsi="Times New Roman"/>
          <w:sz w:val="24"/>
          <w:szCs w:val="24"/>
        </w:rPr>
        <w:t>chendeckend Schwierigkeiten bereitet. Während es in Deutschland,</w:t>
      </w:r>
      <w:r w:rsidR="00287BE9" w:rsidRPr="004C738A">
        <w:rPr>
          <w:rStyle w:val="Funotenzeichen"/>
          <w:rFonts w:ascii="Times New Roman" w:hAnsi="Times New Roman" w:cs="Times New Roman"/>
          <w:sz w:val="24"/>
          <w:szCs w:val="24"/>
        </w:rPr>
        <w:footnoteReference w:id="37"/>
      </w:r>
      <w:r w:rsidR="00287BE9" w:rsidRPr="004C738A">
        <w:rPr>
          <w:rFonts w:ascii="Times New Roman" w:hAnsi="Times New Roman"/>
          <w:sz w:val="24"/>
          <w:szCs w:val="24"/>
        </w:rPr>
        <w:t xml:space="preserve"> Frankreich</w:t>
      </w:r>
      <w:r w:rsidR="00287BE9" w:rsidRPr="004C738A">
        <w:rPr>
          <w:rFonts w:ascii="Times New Roman" w:hAnsi="Times New Roman"/>
          <w:sz w:val="24"/>
          <w:szCs w:val="24"/>
          <w:vertAlign w:val="superscript"/>
        </w:rPr>
        <w:footnoteReference w:id="38"/>
      </w:r>
      <w:r w:rsidR="00287BE9" w:rsidRPr="004C738A">
        <w:rPr>
          <w:rFonts w:ascii="Times New Roman" w:hAnsi="Times New Roman"/>
          <w:sz w:val="24"/>
          <w:szCs w:val="24"/>
        </w:rPr>
        <w:t xml:space="preserve"> oder P</w:t>
      </w:r>
      <w:r w:rsidR="00287BE9" w:rsidRPr="004C738A">
        <w:rPr>
          <w:rFonts w:ascii="Times New Roman" w:hAnsi="Times New Roman"/>
          <w:sz w:val="24"/>
          <w:szCs w:val="24"/>
        </w:rPr>
        <w:t>o</w:t>
      </w:r>
      <w:r w:rsidR="00287BE9" w:rsidRPr="004C738A">
        <w:rPr>
          <w:rFonts w:ascii="Times New Roman" w:hAnsi="Times New Roman"/>
          <w:sz w:val="24"/>
          <w:szCs w:val="24"/>
        </w:rPr>
        <w:t>len</w:t>
      </w:r>
      <w:r w:rsidR="00287BE9" w:rsidRPr="004C738A">
        <w:rPr>
          <w:rFonts w:ascii="Times New Roman" w:hAnsi="Times New Roman"/>
          <w:sz w:val="24"/>
          <w:szCs w:val="24"/>
          <w:vertAlign w:val="superscript"/>
        </w:rPr>
        <w:footnoteReference w:id="39"/>
      </w:r>
      <w:r w:rsidR="00287BE9" w:rsidRPr="004C738A">
        <w:rPr>
          <w:rFonts w:ascii="Times New Roman" w:hAnsi="Times New Roman"/>
          <w:sz w:val="24"/>
          <w:szCs w:val="24"/>
        </w:rPr>
        <w:t xml:space="preserve"> bislang kaum bewältigte Überschneidungen mit den Verfassungsgrundsätzen der Rechtsstaatlichkeit, der Republik und ggf. auch dem Sozialstaat gibt, bereitet in der Schweiz vor allem die Abgrenzung zum Rechtsstaat Probleme.</w:t>
      </w:r>
      <w:r w:rsidR="00287BE9" w:rsidRPr="004C738A">
        <w:rPr>
          <w:rFonts w:ascii="Times New Roman" w:hAnsi="Times New Roman"/>
          <w:sz w:val="24"/>
          <w:szCs w:val="24"/>
          <w:vertAlign w:val="superscript"/>
        </w:rPr>
        <w:footnoteReference w:id="40"/>
      </w:r>
      <w:r w:rsidR="00287BE9" w:rsidRPr="004C738A">
        <w:rPr>
          <w:rFonts w:ascii="Times New Roman" w:hAnsi="Times New Roman"/>
          <w:sz w:val="24"/>
          <w:szCs w:val="24"/>
        </w:rPr>
        <w:t xml:space="preserve"> In Spanien hat dagegen mit der Eta</w:t>
      </w:r>
      <w:r w:rsidR="00287BE9" w:rsidRPr="004C738A">
        <w:rPr>
          <w:rFonts w:ascii="Times New Roman" w:hAnsi="Times New Roman"/>
          <w:sz w:val="24"/>
          <w:szCs w:val="24"/>
        </w:rPr>
        <w:t>b</w:t>
      </w:r>
      <w:r w:rsidR="00287BE9" w:rsidRPr="004C738A">
        <w:rPr>
          <w:rFonts w:ascii="Times New Roman" w:hAnsi="Times New Roman"/>
          <w:sz w:val="24"/>
          <w:szCs w:val="24"/>
        </w:rPr>
        <w:t>lierung der parlamentarischen Monarchie nach dem Ende des Franco-Regimes eine beme</w:t>
      </w:r>
      <w:r w:rsidR="00287BE9" w:rsidRPr="004C738A">
        <w:rPr>
          <w:rFonts w:ascii="Times New Roman" w:hAnsi="Times New Roman"/>
          <w:sz w:val="24"/>
          <w:szCs w:val="24"/>
        </w:rPr>
        <w:t>r</w:t>
      </w:r>
      <w:r w:rsidR="00287BE9" w:rsidRPr="004C738A">
        <w:rPr>
          <w:rFonts w:ascii="Times New Roman" w:hAnsi="Times New Roman"/>
          <w:sz w:val="24"/>
          <w:szCs w:val="24"/>
        </w:rPr>
        <w:lastRenderedPageBreak/>
        <w:t>kenswerte Verschiebung zwischen den Gewährleistungsinhalten von republikanischem und demokratischem Prinzip stattgefunden.</w:t>
      </w:r>
      <w:r w:rsidR="00287BE9" w:rsidRPr="004C738A">
        <w:rPr>
          <w:rFonts w:ascii="Times New Roman" w:hAnsi="Times New Roman"/>
          <w:sz w:val="24"/>
          <w:szCs w:val="24"/>
          <w:vertAlign w:val="superscript"/>
        </w:rPr>
        <w:footnoteReference w:id="41"/>
      </w:r>
      <w:r w:rsidR="00287BE9" w:rsidRPr="004C738A">
        <w:rPr>
          <w:rFonts w:ascii="Times New Roman" w:hAnsi="Times New Roman"/>
          <w:sz w:val="24"/>
          <w:szCs w:val="24"/>
        </w:rPr>
        <w:t xml:space="preserve"> Das kann hier jedoch dahinstehen.</w:t>
      </w:r>
    </w:p>
    <w:p w:rsidR="00287BE9" w:rsidRPr="004C738A" w:rsidRDefault="00287BE9" w:rsidP="00287BE9">
      <w:pPr>
        <w:rPr>
          <w:rFonts w:ascii="Times New Roman" w:hAnsi="Times New Roman"/>
          <w:sz w:val="24"/>
          <w:szCs w:val="24"/>
        </w:rPr>
      </w:pPr>
    </w:p>
    <w:p w:rsidR="00287BE9" w:rsidRPr="004C738A" w:rsidRDefault="007E14DD" w:rsidP="00287BE9">
      <w:pPr>
        <w:rPr>
          <w:rFonts w:ascii="Times New Roman" w:hAnsi="Times New Roman"/>
          <w:sz w:val="24"/>
          <w:szCs w:val="24"/>
        </w:rPr>
      </w:pPr>
      <w:r w:rsidRPr="004C738A">
        <w:rPr>
          <w:rFonts w:ascii="Times New Roman" w:hAnsi="Times New Roman"/>
          <w:sz w:val="24"/>
          <w:szCs w:val="24"/>
        </w:rPr>
        <w:t>Denn f</w:t>
      </w:r>
      <w:r w:rsidR="00287BE9" w:rsidRPr="004C738A">
        <w:rPr>
          <w:rFonts w:ascii="Times New Roman" w:hAnsi="Times New Roman"/>
          <w:sz w:val="24"/>
          <w:szCs w:val="24"/>
        </w:rPr>
        <w:t>ür den vorliegenden Zusammenhang kommt es entscheidend darauf an, dass der dem</w:t>
      </w:r>
      <w:r w:rsidR="00287BE9" w:rsidRPr="004C738A">
        <w:rPr>
          <w:rFonts w:ascii="Times New Roman" w:hAnsi="Times New Roman"/>
          <w:sz w:val="24"/>
          <w:szCs w:val="24"/>
        </w:rPr>
        <w:t>o</w:t>
      </w:r>
      <w:r w:rsidR="00287BE9" w:rsidRPr="004C738A">
        <w:rPr>
          <w:rFonts w:ascii="Times New Roman" w:hAnsi="Times New Roman"/>
          <w:sz w:val="24"/>
          <w:szCs w:val="24"/>
        </w:rPr>
        <w:t xml:space="preserve">kratische Rechts- und Verfassungsstaat auf der Dialektik von Mehrheitswillen und Rechts- bzw. Verfassungsbindung beruht. Politische Herrschaft nach dem Willen der Mehrheit ist hier nur als rechtlich verfasste und gebundene Herrschaft zulässig, die sich insbesondere über die rechtsstaatlichen Garantien der Verfassung nicht hinwegsetzen darf. In diesem Sinne heißt es im NPD-Urteil des Zweiten Senats vom 17. Januar 2017: </w:t>
      </w:r>
    </w:p>
    <w:p w:rsidR="00287BE9" w:rsidRPr="00D21E0A" w:rsidRDefault="004C656B" w:rsidP="00D21E0A">
      <w:pPr>
        <w:pStyle w:val="Zitat"/>
      </w:pPr>
      <w:r w:rsidRPr="00D21E0A">
        <w:t>„</w:t>
      </w:r>
      <w:r w:rsidR="00287BE9" w:rsidRPr="00D21E0A">
        <w:t>Der Einwand der Antragsgegnerin, ein Parteiverbot, das zur Ausschaltung einer kompletten politischen Richtung führe, verstoße gegen das demokratische Prinzip der Volkssouveränität (</w:t>
      </w:r>
      <w:r w:rsidRPr="006A6D36">
        <w:t>„</w:t>
      </w:r>
      <w:r w:rsidR="00287BE9" w:rsidRPr="00E35D05">
        <w:t>Das Volk hat immer Recht</w:t>
      </w:r>
      <w:r w:rsidRPr="00D21E0A">
        <w:t>“</w:t>
      </w:r>
      <w:r w:rsidR="00287BE9" w:rsidRPr="00D21E0A">
        <w:t>), … lässt außer Betracht, dass D</w:t>
      </w:r>
      <w:r w:rsidR="00287BE9" w:rsidRPr="00D21E0A">
        <w:t>e</w:t>
      </w:r>
      <w:r w:rsidR="00287BE9" w:rsidRPr="00D21E0A">
        <w:t>mokratie und Volkssouveränität sich nur in einem freiheitlichen Rahmen entfalten können. Die gleichberechtigte Teilhabe an der politischen Willensbildung als Kern demokratischen Handelns setzt den Bestand einer freiheitlichen Ordnung voraus. Strebt eine politische Partei eine Beseitigung dieser Ordnung an, zielt ihr Verbot nicht auf eine Einschränkung, sondern auf die Gewährleistung von Demokratie und Volk</w:t>
      </w:r>
      <w:r w:rsidR="00287BE9" w:rsidRPr="00D21E0A">
        <w:t>s</w:t>
      </w:r>
      <w:r w:rsidR="00287BE9" w:rsidRPr="00D21E0A">
        <w:t>souveränität. Die Unzulässigkeit der Änderung zentraler Bestimmungen der Verfa</w:t>
      </w:r>
      <w:r w:rsidR="00287BE9" w:rsidRPr="00D21E0A">
        <w:t>s</w:t>
      </w:r>
      <w:r w:rsidR="00287BE9" w:rsidRPr="00D21E0A">
        <w:t>sung und die Begrenzung demokratischer Mitwirkungsrechte, wenn sie sich gegen die freiheitliche demokratische Grundordnung richten, sind daher nicht nur als von außen gesetzte Schranken zu verstehen, sondern vielmehr auch als Ausdruck einer dem D</w:t>
      </w:r>
      <w:r w:rsidR="00287BE9" w:rsidRPr="00D21E0A">
        <w:t>e</w:t>
      </w:r>
      <w:r w:rsidR="00287BE9" w:rsidRPr="00D21E0A">
        <w:t>mokratieprinzip eigenen Selbstbeschränkung, indem sie eine dauerhafte Demokratie gewährleisten sollen. Herrschaft auf Zeit als Wesensgehalt von Demokratie erfordert, dass die jeweilige Mehrheit in (steter) Konkurrenz zur Minderheit steht und diese die Chance hat, selbst zur Mehrheit zu werden. Die vorübergehende Mehrheit darf daher nicht die offene Tür, durch die sie eingetreten ist, hinter sich zuschlagen“.</w:t>
      </w:r>
      <w:r w:rsidR="00287BE9" w:rsidRPr="00D21E0A">
        <w:rPr>
          <w:rStyle w:val="Funotenzeichen"/>
          <w:rFonts w:ascii="Times New Roman" w:hAnsi="Times New Roman" w:cs="Times New Roman"/>
          <w:sz w:val="24"/>
        </w:rPr>
        <w:footnoteReference w:id="42"/>
      </w:r>
      <w:r w:rsidR="00287BE9" w:rsidRPr="00D21E0A">
        <w:t xml:space="preserve"> </w:t>
      </w:r>
    </w:p>
    <w:p w:rsidR="00287BE9" w:rsidRPr="004C738A" w:rsidRDefault="00287BE9" w:rsidP="00287BE9">
      <w:pPr>
        <w:rPr>
          <w:rFonts w:ascii="Times New Roman" w:hAnsi="Times New Roman"/>
          <w:sz w:val="24"/>
          <w:szCs w:val="24"/>
        </w:rPr>
      </w:pPr>
    </w:p>
    <w:p w:rsidR="00287BE9" w:rsidRPr="004C738A" w:rsidRDefault="00287BE9" w:rsidP="00287BE9">
      <w:pPr>
        <w:rPr>
          <w:rFonts w:ascii="Times New Roman" w:hAnsi="Times New Roman"/>
          <w:sz w:val="24"/>
          <w:szCs w:val="24"/>
        </w:rPr>
      </w:pPr>
      <w:r w:rsidRPr="004C738A">
        <w:rPr>
          <w:rFonts w:ascii="Times New Roman" w:hAnsi="Times New Roman"/>
          <w:sz w:val="24"/>
          <w:szCs w:val="24"/>
        </w:rPr>
        <w:t>Diese rechtsstaatlich eingehegte liberale Demokratie ist den Autokraten freilich ein Dorn im Auge. Sie schmähen sie als Hindernis für die Wohlfahrt des Volkes und als Alibi für die Selbstbereicherung der Eliten und setzen ihr eine Neukonzeption von Verfassungsstaatlichkeit entgegen, in der der Wille der (vermeintlichen oder behaupteten) Mehrheit das Maß der Dinge ist. In Anlehnung an die US-amerikanische Diskussion um die „</w:t>
      </w:r>
      <w:r w:rsidRPr="004C738A">
        <w:rPr>
          <w:rFonts w:ascii="Times New Roman" w:hAnsi="Times New Roman"/>
          <w:i/>
          <w:sz w:val="24"/>
          <w:szCs w:val="24"/>
        </w:rPr>
        <w:t>countermajoritarian difficu</w:t>
      </w:r>
      <w:r w:rsidRPr="004C738A">
        <w:rPr>
          <w:rFonts w:ascii="Times New Roman" w:hAnsi="Times New Roman"/>
          <w:i/>
          <w:sz w:val="24"/>
          <w:szCs w:val="24"/>
        </w:rPr>
        <w:t>l</w:t>
      </w:r>
      <w:r w:rsidRPr="004C738A">
        <w:rPr>
          <w:rFonts w:ascii="Times New Roman" w:hAnsi="Times New Roman"/>
          <w:i/>
          <w:sz w:val="24"/>
          <w:szCs w:val="24"/>
        </w:rPr>
        <w:t>ty</w:t>
      </w:r>
      <w:r w:rsidRPr="004C738A">
        <w:rPr>
          <w:rFonts w:ascii="Times New Roman" w:hAnsi="Times New Roman"/>
          <w:sz w:val="24"/>
          <w:szCs w:val="24"/>
        </w:rPr>
        <w:t>“ berufen sie sich typischerweise auf den (vermeintlichen) Mehrheitswillen, um die Demo</w:t>
      </w:r>
      <w:r w:rsidRPr="004C738A">
        <w:rPr>
          <w:rFonts w:ascii="Times New Roman" w:hAnsi="Times New Roman"/>
          <w:sz w:val="24"/>
          <w:szCs w:val="24"/>
        </w:rPr>
        <w:t>n</w:t>
      </w:r>
      <w:r w:rsidRPr="004C738A">
        <w:rPr>
          <w:rFonts w:ascii="Times New Roman" w:hAnsi="Times New Roman"/>
          <w:sz w:val="24"/>
          <w:szCs w:val="24"/>
        </w:rPr>
        <w:t xml:space="preserve">tage der diesem im Wege stehenden Verfassungsgerichtsbarkeit </w:t>
      </w:r>
      <w:r w:rsidR="007E14DD" w:rsidRPr="004C738A">
        <w:rPr>
          <w:rFonts w:ascii="Times New Roman" w:hAnsi="Times New Roman"/>
          <w:sz w:val="24"/>
          <w:szCs w:val="24"/>
        </w:rPr>
        <w:t xml:space="preserve">ebenso </w:t>
      </w:r>
      <w:r w:rsidRPr="004C738A">
        <w:rPr>
          <w:rFonts w:ascii="Times New Roman" w:hAnsi="Times New Roman"/>
          <w:sz w:val="24"/>
          <w:szCs w:val="24"/>
        </w:rPr>
        <w:t>zu rechtfertigen</w:t>
      </w:r>
      <w:r w:rsidR="007E14DD" w:rsidRPr="004C738A">
        <w:rPr>
          <w:rFonts w:ascii="Times New Roman" w:hAnsi="Times New Roman"/>
          <w:sz w:val="24"/>
          <w:szCs w:val="24"/>
        </w:rPr>
        <w:t xml:space="preserve"> wie die Gleichschaltung der Justiz. In der Sache begründen sie </w:t>
      </w:r>
      <w:r w:rsidRPr="004C738A">
        <w:rPr>
          <w:rFonts w:ascii="Times New Roman" w:hAnsi="Times New Roman"/>
          <w:sz w:val="24"/>
          <w:szCs w:val="24"/>
        </w:rPr>
        <w:t xml:space="preserve">damit in den Worten von </w:t>
      </w:r>
      <w:r w:rsidRPr="004C738A">
        <w:rPr>
          <w:rFonts w:ascii="Times New Roman" w:hAnsi="Times New Roman"/>
          <w:i/>
          <w:sz w:val="24"/>
          <w:szCs w:val="24"/>
        </w:rPr>
        <w:t>László Sólyom</w:t>
      </w:r>
      <w:r w:rsidRPr="004C738A">
        <w:rPr>
          <w:rFonts w:ascii="Times New Roman" w:hAnsi="Times New Roman"/>
          <w:sz w:val="24"/>
          <w:szCs w:val="24"/>
        </w:rPr>
        <w:t xml:space="preserve"> eine</w:t>
      </w:r>
      <w:r w:rsidR="007E14DD" w:rsidRPr="004C738A">
        <w:rPr>
          <w:rFonts w:ascii="Times New Roman" w:hAnsi="Times New Roman"/>
          <w:sz w:val="24"/>
          <w:szCs w:val="24"/>
        </w:rPr>
        <w:t>n</w:t>
      </w:r>
      <w:r w:rsidRPr="004C738A">
        <w:rPr>
          <w:rFonts w:ascii="Times New Roman" w:hAnsi="Times New Roman"/>
          <w:sz w:val="24"/>
          <w:szCs w:val="24"/>
        </w:rPr>
        <w:t xml:space="preserve"> „sehr weiten Vorrang der Politik vor dem Recht“.</w:t>
      </w:r>
      <w:r w:rsidRPr="004C738A">
        <w:rPr>
          <w:rStyle w:val="Funotenzeichen"/>
          <w:rFonts w:ascii="Times New Roman" w:hAnsi="Times New Roman" w:cs="Times New Roman"/>
          <w:sz w:val="24"/>
          <w:szCs w:val="24"/>
        </w:rPr>
        <w:footnoteReference w:id="43"/>
      </w:r>
      <w:r w:rsidRPr="004C738A">
        <w:rPr>
          <w:rFonts w:ascii="Times New Roman" w:hAnsi="Times New Roman"/>
          <w:sz w:val="24"/>
          <w:szCs w:val="24"/>
        </w:rPr>
        <w:t xml:space="preserve"> </w:t>
      </w:r>
    </w:p>
    <w:p w:rsidR="00E60030" w:rsidRPr="004C738A" w:rsidRDefault="007E14DD" w:rsidP="00E60030">
      <w:pPr>
        <w:pStyle w:val="berschrift1"/>
        <w:rPr>
          <w:rFonts w:ascii="Times New Roman" w:hAnsi="Times New Roman" w:cs="Times New Roman"/>
          <w:sz w:val="24"/>
          <w:szCs w:val="24"/>
        </w:rPr>
      </w:pPr>
      <w:bookmarkStart w:id="9" w:name="_Toc498362304"/>
      <w:r w:rsidRPr="004C738A">
        <w:rPr>
          <w:rFonts w:ascii="Times New Roman" w:hAnsi="Times New Roman" w:cs="Times New Roman"/>
          <w:sz w:val="24"/>
          <w:szCs w:val="24"/>
        </w:rPr>
        <w:lastRenderedPageBreak/>
        <w:t>I</w:t>
      </w:r>
      <w:r w:rsidR="00E60030" w:rsidRPr="004C738A">
        <w:rPr>
          <w:rFonts w:ascii="Times New Roman" w:hAnsi="Times New Roman" w:cs="Times New Roman"/>
          <w:sz w:val="24"/>
          <w:szCs w:val="24"/>
        </w:rPr>
        <w:t xml:space="preserve">I. </w:t>
      </w:r>
      <w:r w:rsidRPr="004C738A">
        <w:rPr>
          <w:rFonts w:ascii="Times New Roman" w:hAnsi="Times New Roman" w:cs="Times New Roman"/>
          <w:sz w:val="24"/>
          <w:szCs w:val="24"/>
        </w:rPr>
        <w:t>Interdepe</w:t>
      </w:r>
      <w:r w:rsidR="00A05A75" w:rsidRPr="004C738A">
        <w:rPr>
          <w:rFonts w:ascii="Times New Roman" w:hAnsi="Times New Roman" w:cs="Times New Roman"/>
          <w:sz w:val="24"/>
          <w:szCs w:val="24"/>
        </w:rPr>
        <w:t>nde</w:t>
      </w:r>
      <w:r w:rsidRPr="004C738A">
        <w:rPr>
          <w:rFonts w:ascii="Times New Roman" w:hAnsi="Times New Roman" w:cs="Times New Roman"/>
          <w:sz w:val="24"/>
          <w:szCs w:val="24"/>
        </w:rPr>
        <w:t xml:space="preserve">nzen im </w:t>
      </w:r>
      <w:r w:rsidR="00E60030" w:rsidRPr="004C738A">
        <w:rPr>
          <w:rFonts w:ascii="Times New Roman" w:hAnsi="Times New Roman" w:cs="Times New Roman"/>
          <w:sz w:val="24"/>
          <w:szCs w:val="24"/>
        </w:rPr>
        <w:t>Verfassungsgerichtsverbund</w:t>
      </w:r>
      <w:r w:rsidRPr="004C738A">
        <w:rPr>
          <w:rFonts w:ascii="Times New Roman" w:hAnsi="Times New Roman" w:cs="Times New Roman"/>
          <w:sz w:val="24"/>
          <w:szCs w:val="24"/>
        </w:rPr>
        <w:t xml:space="preserve"> und im europäischen Rechtsraum</w:t>
      </w:r>
      <w:bookmarkEnd w:id="9"/>
    </w:p>
    <w:p w:rsidR="006D0400" w:rsidRPr="004C738A" w:rsidRDefault="006D0400" w:rsidP="006D0400">
      <w:pPr>
        <w:pStyle w:val="berschrift2"/>
        <w:rPr>
          <w:rFonts w:ascii="Times New Roman" w:hAnsi="Times New Roman" w:cs="Times New Roman"/>
          <w:sz w:val="24"/>
          <w:szCs w:val="24"/>
        </w:rPr>
      </w:pPr>
      <w:bookmarkStart w:id="10" w:name="_Toc498362305"/>
      <w:r w:rsidRPr="004C738A">
        <w:rPr>
          <w:rFonts w:ascii="Times New Roman" w:hAnsi="Times New Roman" w:cs="Times New Roman"/>
          <w:sz w:val="24"/>
          <w:szCs w:val="24"/>
        </w:rPr>
        <w:t>1. Allgemeines</w:t>
      </w:r>
      <w:bookmarkEnd w:id="10"/>
    </w:p>
    <w:p w:rsidR="006D0400" w:rsidRPr="004C738A" w:rsidRDefault="006D0400" w:rsidP="006D0400">
      <w:pPr>
        <w:rPr>
          <w:rFonts w:ascii="Times New Roman" w:hAnsi="Times New Roman"/>
          <w:sz w:val="24"/>
          <w:szCs w:val="24"/>
        </w:rPr>
      </w:pPr>
      <w:r w:rsidRPr="004C738A">
        <w:rPr>
          <w:rFonts w:ascii="Times New Roman" w:hAnsi="Times New Roman"/>
          <w:sz w:val="24"/>
          <w:szCs w:val="24"/>
        </w:rPr>
        <w:t>Im Staaten-, Verfassungs-, Rechtssetzungs-, Verwaltungs- und Gerichtsverbund der EU ist die Wahrung des Rechts gemeinsame Aufgabe aller Gerichte. Dabei kommt den Verfassungsg</w:t>
      </w:r>
      <w:r w:rsidRPr="004C738A">
        <w:rPr>
          <w:rFonts w:ascii="Times New Roman" w:hAnsi="Times New Roman"/>
          <w:sz w:val="24"/>
          <w:szCs w:val="24"/>
        </w:rPr>
        <w:t>e</w:t>
      </w:r>
      <w:r w:rsidRPr="004C738A">
        <w:rPr>
          <w:rFonts w:ascii="Times New Roman" w:hAnsi="Times New Roman"/>
          <w:sz w:val="24"/>
          <w:szCs w:val="24"/>
        </w:rPr>
        <w:t>richten – unter Einschluss von EuGH und EGMR – eine herausgehobene Bedeutung zu, we</w:t>
      </w:r>
      <w:r w:rsidRPr="004C738A">
        <w:rPr>
          <w:rFonts w:ascii="Times New Roman" w:hAnsi="Times New Roman"/>
          <w:sz w:val="24"/>
          <w:szCs w:val="24"/>
        </w:rPr>
        <w:t>s</w:t>
      </w:r>
      <w:r w:rsidRPr="004C738A">
        <w:rPr>
          <w:rFonts w:ascii="Times New Roman" w:hAnsi="Times New Roman"/>
          <w:sz w:val="24"/>
          <w:szCs w:val="24"/>
        </w:rPr>
        <w:t xml:space="preserve">halb sich das politische und wissenschaftliche Interesse vor allem auf den von </w:t>
      </w:r>
      <w:r w:rsidRPr="004C738A">
        <w:rPr>
          <w:rFonts w:ascii="Times New Roman" w:hAnsi="Times New Roman"/>
          <w:i/>
          <w:sz w:val="24"/>
          <w:szCs w:val="24"/>
        </w:rPr>
        <w:t>Andreas Vo</w:t>
      </w:r>
      <w:r w:rsidRPr="004C738A">
        <w:rPr>
          <w:rFonts w:ascii="Times New Roman" w:hAnsi="Times New Roman"/>
          <w:i/>
          <w:sz w:val="24"/>
          <w:szCs w:val="24"/>
        </w:rPr>
        <w:t>ß</w:t>
      </w:r>
      <w:r w:rsidRPr="004C738A">
        <w:rPr>
          <w:rFonts w:ascii="Times New Roman" w:hAnsi="Times New Roman"/>
          <w:i/>
          <w:sz w:val="24"/>
          <w:szCs w:val="24"/>
        </w:rPr>
        <w:t xml:space="preserve">kuhle </w:t>
      </w:r>
      <w:r w:rsidRPr="004C738A">
        <w:rPr>
          <w:rFonts w:ascii="Times New Roman" w:hAnsi="Times New Roman"/>
          <w:sz w:val="24"/>
          <w:szCs w:val="24"/>
        </w:rPr>
        <w:t>sogenannten Verfassungsgerichtsverbund</w:t>
      </w:r>
      <w:r w:rsidRPr="004C738A">
        <w:rPr>
          <w:rStyle w:val="Funotenzeichen"/>
          <w:rFonts w:ascii="Times New Roman" w:hAnsi="Times New Roman" w:cs="Times New Roman"/>
          <w:sz w:val="24"/>
          <w:szCs w:val="24"/>
        </w:rPr>
        <w:footnoteReference w:id="44"/>
      </w:r>
      <w:r w:rsidRPr="004C738A">
        <w:rPr>
          <w:rFonts w:ascii="Times New Roman" w:hAnsi="Times New Roman"/>
          <w:sz w:val="24"/>
          <w:szCs w:val="24"/>
        </w:rPr>
        <w:t xml:space="preserve"> konzentriert. Er ist gewissermaßen der Kern des europäischen Gerichtsverbundes. </w:t>
      </w:r>
    </w:p>
    <w:p w:rsidR="006D0400" w:rsidRPr="004C738A" w:rsidRDefault="006D0400" w:rsidP="006D0400">
      <w:pPr>
        <w:rPr>
          <w:rFonts w:ascii="Times New Roman" w:hAnsi="Times New Roman"/>
          <w:sz w:val="24"/>
          <w:szCs w:val="24"/>
        </w:rPr>
      </w:pPr>
    </w:p>
    <w:p w:rsidR="00967A10" w:rsidRPr="004C738A" w:rsidRDefault="00C40012" w:rsidP="006D0400">
      <w:pPr>
        <w:rPr>
          <w:rFonts w:ascii="Times New Roman" w:hAnsi="Times New Roman"/>
          <w:sz w:val="24"/>
          <w:szCs w:val="24"/>
        </w:rPr>
      </w:pPr>
      <w:r w:rsidRPr="004C738A">
        <w:rPr>
          <w:rFonts w:ascii="Times New Roman" w:hAnsi="Times New Roman"/>
          <w:sz w:val="24"/>
          <w:szCs w:val="24"/>
        </w:rPr>
        <w:t>Kennzeichen des europäischen Verfassungsverbundes ist die Verklammerung der nationalen Rechtsordnungen durch die Verträge über die Gründung und die Arbeitsweise der Europä</w:t>
      </w:r>
      <w:r w:rsidRPr="004C738A">
        <w:rPr>
          <w:rFonts w:ascii="Times New Roman" w:hAnsi="Times New Roman"/>
          <w:sz w:val="24"/>
          <w:szCs w:val="24"/>
        </w:rPr>
        <w:t>i</w:t>
      </w:r>
      <w:r w:rsidRPr="004C738A">
        <w:rPr>
          <w:rFonts w:ascii="Times New Roman" w:hAnsi="Times New Roman"/>
          <w:sz w:val="24"/>
          <w:szCs w:val="24"/>
        </w:rPr>
        <w:t>schen Union. An der Schnittstelle zwischen nationalem Verfassungsrecht und Sekundärrecht gelegen und identisch sowohl mit dem Primärrecht als auch mit den Zustimmungsgese</w:t>
      </w:r>
      <w:r w:rsidRPr="004C738A">
        <w:rPr>
          <w:rFonts w:ascii="Times New Roman" w:hAnsi="Times New Roman"/>
          <w:sz w:val="24"/>
          <w:szCs w:val="24"/>
        </w:rPr>
        <w:t>t</w:t>
      </w:r>
      <w:r w:rsidRPr="004C738A">
        <w:rPr>
          <w:rFonts w:ascii="Times New Roman" w:hAnsi="Times New Roman"/>
          <w:sz w:val="24"/>
          <w:szCs w:val="24"/>
        </w:rPr>
        <w:t>zen/Rezeptionsakten der Mitgliedstaaten, fungieren sie als Instrument „struktureller Kopp</w:t>
      </w:r>
      <w:r w:rsidRPr="004C738A">
        <w:rPr>
          <w:rFonts w:ascii="Times New Roman" w:hAnsi="Times New Roman"/>
          <w:sz w:val="24"/>
          <w:szCs w:val="24"/>
        </w:rPr>
        <w:t>e</w:t>
      </w:r>
      <w:r w:rsidRPr="004C738A">
        <w:rPr>
          <w:rFonts w:ascii="Times New Roman" w:hAnsi="Times New Roman"/>
          <w:sz w:val="24"/>
          <w:szCs w:val="24"/>
        </w:rPr>
        <w:t>lung“, durch das die Verfassungsordnungen der Mitgliedstaaten miteinander verbunden und auf das Integrationsprogramm hin ausgerichtet werden.</w:t>
      </w:r>
      <w:r w:rsidR="00967A10" w:rsidRPr="004C738A">
        <w:rPr>
          <w:rFonts w:ascii="Times New Roman" w:hAnsi="Times New Roman"/>
          <w:sz w:val="24"/>
          <w:szCs w:val="24"/>
        </w:rPr>
        <w:t xml:space="preserve"> Dies zwingt die Mitgliedstaaten dazu, sich den Homogenitätsanforderungen der Art</w:t>
      </w:r>
      <w:r w:rsidR="00443414" w:rsidRPr="004C738A">
        <w:rPr>
          <w:rFonts w:ascii="Times New Roman" w:hAnsi="Times New Roman"/>
          <w:sz w:val="24"/>
          <w:szCs w:val="24"/>
        </w:rPr>
        <w:t>.</w:t>
      </w:r>
      <w:r w:rsidR="00443414">
        <w:rPr>
          <w:rFonts w:ascii="Times New Roman" w:hAnsi="Times New Roman"/>
          <w:sz w:val="24"/>
          <w:szCs w:val="24"/>
        </w:rPr>
        <w:t> </w:t>
      </w:r>
      <w:r w:rsidR="00967A10" w:rsidRPr="004C738A">
        <w:rPr>
          <w:rFonts w:ascii="Times New Roman" w:hAnsi="Times New Roman"/>
          <w:sz w:val="24"/>
          <w:szCs w:val="24"/>
        </w:rPr>
        <w:t>2 und Art</w:t>
      </w:r>
      <w:r w:rsidR="00443414" w:rsidRPr="004C738A">
        <w:rPr>
          <w:rFonts w:ascii="Times New Roman" w:hAnsi="Times New Roman"/>
          <w:sz w:val="24"/>
          <w:szCs w:val="24"/>
        </w:rPr>
        <w:t>.</w:t>
      </w:r>
      <w:r w:rsidR="00443414">
        <w:rPr>
          <w:rFonts w:ascii="Times New Roman" w:hAnsi="Times New Roman"/>
          <w:sz w:val="24"/>
          <w:szCs w:val="24"/>
        </w:rPr>
        <w:t> </w:t>
      </w:r>
      <w:r w:rsidR="00967A10" w:rsidRPr="004C738A">
        <w:rPr>
          <w:rFonts w:ascii="Times New Roman" w:hAnsi="Times New Roman"/>
          <w:sz w:val="24"/>
          <w:szCs w:val="24"/>
        </w:rPr>
        <w:t>6 EUV anzupassen und dem Union</w:t>
      </w:r>
      <w:r w:rsidR="00967A10" w:rsidRPr="004C738A">
        <w:rPr>
          <w:rFonts w:ascii="Times New Roman" w:hAnsi="Times New Roman"/>
          <w:sz w:val="24"/>
          <w:szCs w:val="24"/>
        </w:rPr>
        <w:t>s</w:t>
      </w:r>
      <w:r w:rsidR="00967A10" w:rsidRPr="004C738A">
        <w:rPr>
          <w:rFonts w:ascii="Times New Roman" w:hAnsi="Times New Roman"/>
          <w:sz w:val="24"/>
          <w:szCs w:val="24"/>
        </w:rPr>
        <w:t>recht Anwendungsvorrang vor dem nationalen Recht einzuräumen</w:t>
      </w:r>
      <w:r w:rsidR="00A451E0" w:rsidRPr="004C738A">
        <w:rPr>
          <w:rStyle w:val="Funotenzeichen"/>
          <w:rFonts w:ascii="Times New Roman" w:hAnsi="Times New Roman" w:cs="Times New Roman"/>
          <w:sz w:val="24"/>
          <w:szCs w:val="24"/>
        </w:rPr>
        <w:footnoteReference w:id="45"/>
      </w:r>
      <w:r w:rsidR="00967A10" w:rsidRPr="004C738A">
        <w:rPr>
          <w:rFonts w:ascii="Times New Roman" w:hAnsi="Times New Roman"/>
          <w:sz w:val="24"/>
          <w:szCs w:val="24"/>
        </w:rPr>
        <w:t xml:space="preserve"> und </w:t>
      </w:r>
      <w:r w:rsidRPr="004C738A">
        <w:rPr>
          <w:rFonts w:ascii="Times New Roman" w:hAnsi="Times New Roman"/>
          <w:sz w:val="24"/>
          <w:szCs w:val="24"/>
        </w:rPr>
        <w:t>bedeutet – für die Dauer der Mitgliedschaft – faktisch das Ende nationaler Verfassungsautonomie.</w:t>
      </w:r>
      <w:r w:rsidRPr="004C738A">
        <w:rPr>
          <w:rFonts w:ascii="Times New Roman" w:hAnsi="Times New Roman"/>
          <w:sz w:val="24"/>
          <w:szCs w:val="24"/>
          <w:vertAlign w:val="superscript"/>
        </w:rPr>
        <w:footnoteReference w:id="46"/>
      </w:r>
      <w:r w:rsidR="006D121D" w:rsidRPr="004C738A">
        <w:rPr>
          <w:rFonts w:ascii="Times New Roman" w:hAnsi="Times New Roman"/>
          <w:sz w:val="24"/>
          <w:szCs w:val="24"/>
        </w:rPr>
        <w:t xml:space="preserve"> </w:t>
      </w:r>
    </w:p>
    <w:p w:rsidR="00967A10" w:rsidRPr="004C738A" w:rsidRDefault="00967A10" w:rsidP="006D0400">
      <w:pPr>
        <w:rPr>
          <w:rFonts w:ascii="Times New Roman" w:hAnsi="Times New Roman"/>
          <w:sz w:val="24"/>
          <w:szCs w:val="24"/>
        </w:rPr>
      </w:pPr>
    </w:p>
    <w:p w:rsidR="006D0400" w:rsidRPr="004C738A" w:rsidRDefault="00967A10" w:rsidP="006D0400">
      <w:pPr>
        <w:rPr>
          <w:rFonts w:ascii="Times New Roman" w:hAnsi="Times New Roman"/>
          <w:sz w:val="24"/>
          <w:szCs w:val="24"/>
        </w:rPr>
      </w:pPr>
      <w:r w:rsidRPr="004C738A">
        <w:rPr>
          <w:rFonts w:ascii="Times New Roman" w:hAnsi="Times New Roman"/>
          <w:sz w:val="24"/>
          <w:szCs w:val="24"/>
        </w:rPr>
        <w:t xml:space="preserve">Umgekehrt </w:t>
      </w:r>
      <w:r w:rsidR="00C40012" w:rsidRPr="004C738A">
        <w:rPr>
          <w:rFonts w:ascii="Times New Roman" w:hAnsi="Times New Roman"/>
          <w:sz w:val="24"/>
          <w:szCs w:val="24"/>
        </w:rPr>
        <w:t>setzt sich das nationale (Verfassungs-)Recht gegenüber dem Unionsrecht überall dort durch, wo sein Europaverfassungsrecht</w:t>
      </w:r>
      <w:r w:rsidR="00C40012" w:rsidRPr="004C738A">
        <w:rPr>
          <w:rFonts w:ascii="Times New Roman" w:hAnsi="Times New Roman"/>
          <w:sz w:val="24"/>
          <w:szCs w:val="24"/>
          <w:vertAlign w:val="superscript"/>
        </w:rPr>
        <w:footnoteReference w:id="47"/>
      </w:r>
      <w:r w:rsidR="00C40012" w:rsidRPr="004C738A">
        <w:rPr>
          <w:rFonts w:ascii="Times New Roman" w:hAnsi="Times New Roman"/>
          <w:sz w:val="24"/>
          <w:szCs w:val="24"/>
        </w:rPr>
        <w:t xml:space="preserve"> eine Öffnung nicht zulässt</w:t>
      </w:r>
      <w:r w:rsidR="006D121D" w:rsidRPr="004C738A">
        <w:rPr>
          <w:rStyle w:val="Funotenzeichen"/>
          <w:rFonts w:ascii="Times New Roman" w:hAnsi="Times New Roman" w:cs="Times New Roman"/>
          <w:sz w:val="24"/>
          <w:szCs w:val="24"/>
        </w:rPr>
        <w:footnoteReference w:id="48"/>
      </w:r>
      <w:r w:rsidR="00C40012" w:rsidRPr="004C738A">
        <w:rPr>
          <w:rFonts w:ascii="Times New Roman" w:hAnsi="Times New Roman"/>
          <w:sz w:val="24"/>
          <w:szCs w:val="24"/>
        </w:rPr>
        <w:t xml:space="preserve"> oder das vom mi</w:t>
      </w:r>
      <w:r w:rsidR="00C40012" w:rsidRPr="004C738A">
        <w:rPr>
          <w:rFonts w:ascii="Times New Roman" w:hAnsi="Times New Roman"/>
          <w:sz w:val="24"/>
          <w:szCs w:val="24"/>
        </w:rPr>
        <w:t>t</w:t>
      </w:r>
      <w:r w:rsidR="00C40012" w:rsidRPr="004C738A">
        <w:rPr>
          <w:rFonts w:ascii="Times New Roman" w:hAnsi="Times New Roman"/>
          <w:sz w:val="24"/>
          <w:szCs w:val="24"/>
        </w:rPr>
        <w:t>gliedstaatlichen Rechtsanwendungsbefehl gebilligte Integrationsprogramm verlassen wird.</w:t>
      </w:r>
      <w:r w:rsidR="00C40012" w:rsidRPr="004C738A">
        <w:rPr>
          <w:rStyle w:val="Funotenzeichen"/>
          <w:rFonts w:ascii="Times New Roman" w:hAnsi="Times New Roman" w:cs="Times New Roman"/>
          <w:sz w:val="24"/>
          <w:szCs w:val="24"/>
        </w:rPr>
        <w:footnoteReference w:id="49"/>
      </w:r>
      <w:r w:rsidR="00C40012" w:rsidRPr="004C738A">
        <w:rPr>
          <w:rFonts w:ascii="Times New Roman" w:hAnsi="Times New Roman"/>
          <w:sz w:val="24"/>
          <w:szCs w:val="24"/>
        </w:rPr>
        <w:t xml:space="preserve"> </w:t>
      </w:r>
      <w:r w:rsidR="006E58F2" w:rsidRPr="004C738A">
        <w:rPr>
          <w:rFonts w:ascii="Times New Roman" w:hAnsi="Times New Roman"/>
          <w:sz w:val="24"/>
          <w:szCs w:val="24"/>
        </w:rPr>
        <w:t>Die Rechtsordnung der Europäischen Union stellt sich somit als wechselseitige Auffangor</w:t>
      </w:r>
      <w:r w:rsidR="006E58F2" w:rsidRPr="004C738A">
        <w:rPr>
          <w:rFonts w:ascii="Times New Roman" w:hAnsi="Times New Roman"/>
          <w:sz w:val="24"/>
          <w:szCs w:val="24"/>
        </w:rPr>
        <w:t>d</w:t>
      </w:r>
      <w:r w:rsidR="006E58F2" w:rsidRPr="004C738A">
        <w:rPr>
          <w:rFonts w:ascii="Times New Roman" w:hAnsi="Times New Roman"/>
          <w:sz w:val="24"/>
          <w:szCs w:val="24"/>
        </w:rPr>
        <w:t>nung dar,</w:t>
      </w:r>
      <w:r w:rsidR="006E58F2" w:rsidRPr="004C738A">
        <w:rPr>
          <w:rFonts w:ascii="Times New Roman" w:hAnsi="Times New Roman"/>
          <w:sz w:val="24"/>
          <w:szCs w:val="24"/>
          <w:vertAlign w:val="superscript"/>
        </w:rPr>
        <w:footnoteReference w:id="50"/>
      </w:r>
      <w:r w:rsidR="006E58F2" w:rsidRPr="004C738A">
        <w:rPr>
          <w:rFonts w:ascii="Times New Roman" w:hAnsi="Times New Roman"/>
          <w:sz w:val="24"/>
          <w:szCs w:val="24"/>
        </w:rPr>
        <w:t xml:space="preserve"> in der sich unionales und nationales (Verfassungs-)Recht gegenseitig beeinflussen </w:t>
      </w:r>
      <w:r w:rsidR="006E58F2" w:rsidRPr="004C738A">
        <w:rPr>
          <w:rFonts w:ascii="Times New Roman" w:hAnsi="Times New Roman"/>
          <w:sz w:val="24"/>
          <w:szCs w:val="24"/>
        </w:rPr>
        <w:lastRenderedPageBreak/>
        <w:t>und ergänzen.</w:t>
      </w:r>
      <w:r w:rsidR="006E58F2" w:rsidRPr="004C738A">
        <w:rPr>
          <w:rFonts w:ascii="Times New Roman" w:hAnsi="Times New Roman"/>
          <w:sz w:val="24"/>
          <w:szCs w:val="24"/>
          <w:vertAlign w:val="superscript"/>
        </w:rPr>
        <w:footnoteReference w:id="51"/>
      </w:r>
      <w:r w:rsidR="006E58F2" w:rsidRPr="004C738A">
        <w:rPr>
          <w:rFonts w:ascii="Times New Roman" w:hAnsi="Times New Roman"/>
          <w:sz w:val="24"/>
          <w:szCs w:val="24"/>
        </w:rPr>
        <w:t xml:space="preserve"> Sie sind insoweit „Komplementärverfassungen“, auf gegenseitige Ergänzung angelegte Teile des Verfassungsverbundes und jeweils auf die Rolle einer Teilverfassung r</w:t>
      </w:r>
      <w:r w:rsidR="006E58F2" w:rsidRPr="004C738A">
        <w:rPr>
          <w:rFonts w:ascii="Times New Roman" w:hAnsi="Times New Roman"/>
          <w:sz w:val="24"/>
          <w:szCs w:val="24"/>
        </w:rPr>
        <w:t>e</w:t>
      </w:r>
      <w:r w:rsidR="006E58F2" w:rsidRPr="004C738A">
        <w:rPr>
          <w:rFonts w:ascii="Times New Roman" w:hAnsi="Times New Roman"/>
          <w:sz w:val="24"/>
          <w:szCs w:val="24"/>
        </w:rPr>
        <w:t>duziert.</w:t>
      </w:r>
      <w:r w:rsidR="006E58F2" w:rsidRPr="004C738A">
        <w:rPr>
          <w:rFonts w:ascii="Times New Roman" w:hAnsi="Times New Roman"/>
          <w:sz w:val="24"/>
          <w:szCs w:val="24"/>
          <w:vertAlign w:val="superscript"/>
        </w:rPr>
        <w:footnoteReference w:id="52"/>
      </w:r>
      <w:r w:rsidR="006E58F2" w:rsidRPr="004C738A">
        <w:rPr>
          <w:rFonts w:ascii="Times New Roman" w:hAnsi="Times New Roman"/>
          <w:sz w:val="24"/>
          <w:szCs w:val="24"/>
        </w:rPr>
        <w:t xml:space="preserve"> Konsequenterweise erschließt sich die Gesamtrechtsordnung der EU und ihrer Mi</w:t>
      </w:r>
      <w:r w:rsidR="006E58F2" w:rsidRPr="004C738A">
        <w:rPr>
          <w:rFonts w:ascii="Times New Roman" w:hAnsi="Times New Roman"/>
          <w:sz w:val="24"/>
          <w:szCs w:val="24"/>
        </w:rPr>
        <w:t>t</w:t>
      </w:r>
      <w:r w:rsidR="006E58F2" w:rsidRPr="004C738A">
        <w:rPr>
          <w:rFonts w:ascii="Times New Roman" w:hAnsi="Times New Roman"/>
          <w:sz w:val="24"/>
          <w:szCs w:val="24"/>
        </w:rPr>
        <w:t>gliedstaaten nur aus der Zusammenschau von unionalem und nationalem (Verfassungs-)Recht.</w:t>
      </w:r>
      <w:r w:rsidRPr="004C738A">
        <w:rPr>
          <w:rFonts w:ascii="Times New Roman" w:hAnsi="Times New Roman"/>
          <w:sz w:val="24"/>
          <w:szCs w:val="24"/>
        </w:rPr>
        <w:t xml:space="preserve"> </w:t>
      </w:r>
      <w:r w:rsidR="006E58F2" w:rsidRPr="004C738A">
        <w:rPr>
          <w:rFonts w:ascii="Times New Roman" w:hAnsi="Times New Roman"/>
          <w:sz w:val="24"/>
          <w:szCs w:val="24"/>
        </w:rPr>
        <w:t>Das hat Konsequenzen für die Wahrnehmung der Staatsfunktionen, die letztlich im Verbund mit Organen, Einrichtungen und sonstigen Stellen der EU sowie vergleichbaren Ste</w:t>
      </w:r>
      <w:r w:rsidR="006E58F2" w:rsidRPr="004C738A">
        <w:rPr>
          <w:rFonts w:ascii="Times New Roman" w:hAnsi="Times New Roman"/>
          <w:sz w:val="24"/>
          <w:szCs w:val="24"/>
        </w:rPr>
        <w:t>l</w:t>
      </w:r>
      <w:r w:rsidR="006E58F2" w:rsidRPr="004C738A">
        <w:rPr>
          <w:rFonts w:ascii="Times New Roman" w:hAnsi="Times New Roman"/>
          <w:sz w:val="24"/>
          <w:szCs w:val="24"/>
        </w:rPr>
        <w:t>len anderer Mitgliedstaaten erfüllt werden m</w:t>
      </w:r>
      <w:r w:rsidR="004C738A" w:rsidRPr="004C738A">
        <w:rPr>
          <w:rFonts w:ascii="Times New Roman" w:hAnsi="Times New Roman"/>
          <w:sz w:val="24"/>
          <w:szCs w:val="24"/>
        </w:rPr>
        <w:t>üssen.</w:t>
      </w:r>
    </w:p>
    <w:p w:rsidR="006D0400" w:rsidRPr="004C738A" w:rsidRDefault="006D0400" w:rsidP="006D0400">
      <w:pPr>
        <w:rPr>
          <w:rFonts w:ascii="Times New Roman" w:hAnsi="Times New Roman"/>
          <w:b/>
          <w:sz w:val="24"/>
          <w:szCs w:val="24"/>
        </w:rPr>
      </w:pPr>
    </w:p>
    <w:p w:rsidR="006D0400" w:rsidRPr="004C738A" w:rsidRDefault="006D0400" w:rsidP="006D0400">
      <w:pPr>
        <w:pStyle w:val="berschrift2"/>
        <w:rPr>
          <w:rFonts w:ascii="Times New Roman" w:hAnsi="Times New Roman" w:cs="Times New Roman"/>
          <w:sz w:val="24"/>
          <w:szCs w:val="24"/>
        </w:rPr>
      </w:pPr>
      <w:bookmarkStart w:id="12" w:name="_Toc498362306"/>
      <w:r w:rsidRPr="004C738A">
        <w:rPr>
          <w:rFonts w:ascii="Times New Roman" w:hAnsi="Times New Roman" w:cs="Times New Roman"/>
          <w:sz w:val="24"/>
          <w:szCs w:val="24"/>
        </w:rPr>
        <w:t xml:space="preserve">2. </w:t>
      </w:r>
      <w:r w:rsidR="00A05A75" w:rsidRPr="004C738A">
        <w:rPr>
          <w:rFonts w:ascii="Times New Roman" w:hAnsi="Times New Roman" w:cs="Times New Roman"/>
          <w:sz w:val="24"/>
          <w:szCs w:val="24"/>
        </w:rPr>
        <w:t xml:space="preserve">Der unionale </w:t>
      </w:r>
      <w:r w:rsidR="00967A10" w:rsidRPr="004C738A">
        <w:rPr>
          <w:rFonts w:ascii="Times New Roman" w:hAnsi="Times New Roman" w:cs="Times New Roman"/>
          <w:sz w:val="24"/>
          <w:szCs w:val="24"/>
        </w:rPr>
        <w:t>Rechtsprechungs- und Verfassungsgerichtsverbund</w:t>
      </w:r>
      <w:bookmarkEnd w:id="12"/>
    </w:p>
    <w:p w:rsidR="00A451E0" w:rsidRPr="004C738A" w:rsidRDefault="00967A10" w:rsidP="006D0400">
      <w:pPr>
        <w:rPr>
          <w:rFonts w:ascii="Times New Roman" w:hAnsi="Times New Roman"/>
          <w:sz w:val="24"/>
          <w:szCs w:val="24"/>
        </w:rPr>
      </w:pPr>
      <w:r w:rsidRPr="004C738A">
        <w:rPr>
          <w:rFonts w:ascii="Times New Roman" w:hAnsi="Times New Roman"/>
          <w:sz w:val="24"/>
          <w:szCs w:val="24"/>
        </w:rPr>
        <w:t xml:space="preserve">Art und Umfang des Rechtsprechungsauftrags </w:t>
      </w:r>
      <w:r w:rsidR="00A451E0" w:rsidRPr="004C738A">
        <w:rPr>
          <w:rFonts w:ascii="Times New Roman" w:hAnsi="Times New Roman"/>
          <w:sz w:val="24"/>
          <w:szCs w:val="24"/>
        </w:rPr>
        <w:t xml:space="preserve">der deutschen Gerichte als </w:t>
      </w:r>
      <w:r w:rsidRPr="004C738A">
        <w:rPr>
          <w:rFonts w:ascii="Times New Roman" w:hAnsi="Times New Roman"/>
          <w:sz w:val="24"/>
          <w:szCs w:val="24"/>
        </w:rPr>
        <w:t xml:space="preserve">Teilnehmer </w:t>
      </w:r>
      <w:r w:rsidR="00A451E0" w:rsidRPr="004C738A">
        <w:rPr>
          <w:rFonts w:ascii="Times New Roman" w:hAnsi="Times New Roman"/>
          <w:sz w:val="24"/>
          <w:szCs w:val="24"/>
        </w:rPr>
        <w:t xml:space="preserve">am Rechtsprechungs- und Verfassungsgerichtsverbund </w:t>
      </w:r>
      <w:r w:rsidRPr="004C738A">
        <w:rPr>
          <w:rFonts w:ascii="Times New Roman" w:hAnsi="Times New Roman"/>
          <w:sz w:val="24"/>
          <w:szCs w:val="24"/>
        </w:rPr>
        <w:t>bestimmen sich nach den materiell-rechtlichen Grundlagen. Ausgangspunkt ist insoweit die durch nationale Regelungen bewirkte Öffnung des nationalen Verfassungsrechts für das „Integrationsprogramm“</w:t>
      </w:r>
      <w:r w:rsidR="003F70FC" w:rsidRPr="004C738A">
        <w:rPr>
          <w:rFonts w:ascii="Times New Roman" w:hAnsi="Times New Roman"/>
          <w:sz w:val="24"/>
          <w:szCs w:val="24"/>
        </w:rPr>
        <w:t>:</w:t>
      </w:r>
    </w:p>
    <w:p w:rsidR="00A451E0" w:rsidRPr="00D21E0A" w:rsidRDefault="00126FAB" w:rsidP="00D21E0A">
      <w:pPr>
        <w:pStyle w:val="Zitat"/>
      </w:pPr>
      <w:r w:rsidRPr="00D21E0A">
        <w:t>„</w:t>
      </w:r>
      <w:r w:rsidR="00A451E0" w:rsidRPr="00D21E0A">
        <w:t>Mit der Verpflichtung Deutschlands auf die Gründung und Fortentwicklung der E</w:t>
      </w:r>
      <w:r w:rsidR="00A451E0" w:rsidRPr="00D21E0A">
        <w:t>u</w:t>
      </w:r>
      <w:r w:rsidR="00A451E0" w:rsidRPr="00D21E0A">
        <w:t>ropäischen Union enthält Art. 23 Abs</w:t>
      </w:r>
      <w:r w:rsidRPr="006A6D36">
        <w:t>. </w:t>
      </w:r>
      <w:r w:rsidR="00A451E0" w:rsidRPr="00E35D05">
        <w:t>1 GG zugleich ein Wirksamkeits- und Durc</w:t>
      </w:r>
      <w:r w:rsidR="00A451E0" w:rsidRPr="00D21E0A">
        <w:t>h</w:t>
      </w:r>
      <w:r w:rsidR="00A451E0" w:rsidRPr="00D21E0A">
        <w:t>setzungsversprechen für das Unionsrecht (</w:t>
      </w:r>
      <w:r w:rsidR="003F70FC" w:rsidRPr="00D21E0A">
        <w:t>…</w:t>
      </w:r>
      <w:r w:rsidR="00A451E0" w:rsidRPr="00D21E0A">
        <w:t>). Für den Erfolg der Europäischen Union und die Erreichung ihrer vertraglichen Ziele ist die einheitliche Geltung ihres Rechts von zentraler Bedeutung (</w:t>
      </w:r>
      <w:r w:rsidR="003F70FC" w:rsidRPr="00D21E0A">
        <w:t>…</w:t>
      </w:r>
      <w:r w:rsidR="00A451E0" w:rsidRPr="00D21E0A">
        <w:t>). Als Rechtsgemeinschaft von derzeit 28 Mitgliedstaaten könnte sie nicht bestehen, wenn dessen einheitliche Geltung und Wirksamkeit nicht gewährleistet wäre (</w:t>
      </w:r>
      <w:r w:rsidR="003F70FC" w:rsidRPr="00D21E0A">
        <w:t>…</w:t>
      </w:r>
      <w:r w:rsidR="00A451E0" w:rsidRPr="00D21E0A">
        <w:t>).</w:t>
      </w:r>
    </w:p>
    <w:p w:rsidR="00A451E0" w:rsidRPr="00D21E0A" w:rsidRDefault="00A451E0" w:rsidP="00D21E0A">
      <w:pPr>
        <w:pStyle w:val="Zitat"/>
      </w:pPr>
    </w:p>
    <w:p w:rsidR="00A451E0" w:rsidRPr="00D21E0A" w:rsidRDefault="00A451E0" w:rsidP="006A6D36">
      <w:pPr>
        <w:pStyle w:val="Zitat"/>
      </w:pPr>
      <w:r w:rsidRPr="00D21E0A">
        <w:t>Mit der in Art. 23 Abs</w:t>
      </w:r>
      <w:r w:rsidR="00E95F45" w:rsidRPr="00D21E0A">
        <w:t>. </w:t>
      </w:r>
      <w:r w:rsidRPr="00D21E0A">
        <w:t xml:space="preserve">1 </w:t>
      </w:r>
      <w:r w:rsidR="00E95F45" w:rsidRPr="00D21E0A">
        <w:t>Satz </w:t>
      </w:r>
      <w:r w:rsidRPr="00D21E0A">
        <w:t>2 GG enthaltenen Ermächtigung, Hoheitsrechte auf die Europäische Union zu übertragen, billigt das Grundgesetz daher auch die im Zusti</w:t>
      </w:r>
      <w:r w:rsidRPr="00D21E0A">
        <w:t>m</w:t>
      </w:r>
      <w:r w:rsidRPr="00D21E0A">
        <w:t>mungsgesetz zu den Verträgen enthaltene Einräumung eines Anwendungsvorrangs zugunsten des Unionsrechts. Der Anwendungsvorrang des Unionsrechts vor nation</w:t>
      </w:r>
      <w:r w:rsidRPr="00D21E0A">
        <w:t>a</w:t>
      </w:r>
      <w:r w:rsidRPr="00D21E0A">
        <w:t>lem Recht gilt grundsätzlich auch mit Blick auf entgegenstehendes nationales Verfa</w:t>
      </w:r>
      <w:r w:rsidRPr="00D21E0A">
        <w:t>s</w:t>
      </w:r>
      <w:r w:rsidRPr="00D21E0A">
        <w:t>sungsrecht (</w:t>
      </w:r>
      <w:r w:rsidR="003F70FC" w:rsidRPr="00D21E0A">
        <w:t>…</w:t>
      </w:r>
      <w:r w:rsidRPr="00D21E0A">
        <w:t>) und führt bei einer Kollision in aller Regel zur Unanwendbarkeit des nationalen Rechts im konkreten Fall (</w:t>
      </w:r>
      <w:r w:rsidR="003F70FC" w:rsidRPr="00D21E0A">
        <w:t>…</w:t>
      </w:r>
      <w:r w:rsidRPr="00D21E0A">
        <w:t>).</w:t>
      </w:r>
    </w:p>
    <w:p w:rsidR="00A451E0" w:rsidRPr="00D21E0A" w:rsidRDefault="00A451E0">
      <w:pPr>
        <w:pStyle w:val="Zitat"/>
      </w:pPr>
    </w:p>
    <w:p w:rsidR="00A451E0" w:rsidRPr="00D21E0A" w:rsidRDefault="00A451E0">
      <w:pPr>
        <w:pStyle w:val="Zitat"/>
      </w:pPr>
      <w:r w:rsidRPr="00D21E0A">
        <w:t>Auf der Grundlage von Art. 23 Abs</w:t>
      </w:r>
      <w:r w:rsidR="00E95F45" w:rsidRPr="00D21E0A">
        <w:t>. </w:t>
      </w:r>
      <w:r w:rsidRPr="00D21E0A">
        <w:t>1 GG kann der Integrationsgesetzgeber nicht nur Organe, Einrichtungen und sonstige Stellen der Europäischen Union, soweit sie in Deutschland öffentliche Gewalt ausüben, von einer umfassenden Bindung an die G</w:t>
      </w:r>
      <w:r w:rsidRPr="00D21E0A">
        <w:t>e</w:t>
      </w:r>
      <w:r w:rsidRPr="00D21E0A">
        <w:t>währleistungen des Grundgesetzes freistellen, sondern auch deutsche Stellen, die Recht der Europäischen Union durchführen (</w:t>
      </w:r>
      <w:r w:rsidR="003F70FC" w:rsidRPr="00D21E0A">
        <w:t>…</w:t>
      </w:r>
      <w:r w:rsidRPr="00D21E0A">
        <w:t>). Das gilt sowohl für die Gesetzgeber auf Bundes- und Landesebene, wenn diese Sekundär- oder Tertiärrecht umsetzen, o</w:t>
      </w:r>
      <w:r w:rsidRPr="00D21E0A">
        <w:t>h</w:t>
      </w:r>
      <w:r w:rsidRPr="00D21E0A">
        <w:lastRenderedPageBreak/>
        <w:t>ne dabei über einen Gestaltungsspielraum zu verfügen(</w:t>
      </w:r>
      <w:r w:rsidR="003F70FC" w:rsidRPr="00D21E0A">
        <w:t>…</w:t>
      </w:r>
      <w:r w:rsidRPr="00D21E0A">
        <w:t>), als grundsätzlich auch für Behörden und Gerichte.</w:t>
      </w:r>
    </w:p>
    <w:p w:rsidR="003F70FC" w:rsidRPr="00D21E0A" w:rsidRDefault="003F70FC">
      <w:pPr>
        <w:rPr>
          <w:rFonts w:ascii="Times New Roman" w:hAnsi="Times New Roman"/>
          <w:sz w:val="24"/>
          <w:szCs w:val="24"/>
        </w:rPr>
      </w:pPr>
    </w:p>
    <w:p w:rsidR="003F70FC" w:rsidRPr="00D21E0A" w:rsidRDefault="003F70FC" w:rsidP="00D21E0A">
      <w:pPr>
        <w:pStyle w:val="Zitat"/>
      </w:pPr>
      <w:r w:rsidRPr="00D21E0A">
        <w:t>Der Anwendungsvorrang reicht jedoch nur soweit, wie das Grundgesetz und das Z</w:t>
      </w:r>
      <w:r w:rsidRPr="00D21E0A">
        <w:t>u</w:t>
      </w:r>
      <w:r w:rsidRPr="00D21E0A">
        <w:t xml:space="preserve">stimmungsgesetz die Übertragung von Hoheitsrechten erlauben oder vorsehen (…). Der im Zustimmungsgesetz enthaltene Rechtsanwendungsbefehl kann nur im Rahmen der geltenden Verfassungsordnung erteilt werden (…). Grenzen für die </w:t>
      </w:r>
      <w:r w:rsidRPr="00D21E0A">
        <w:rPr>
          <w:color w:val="auto"/>
        </w:rPr>
        <w:t>Öffnung deu</w:t>
      </w:r>
      <w:r w:rsidRPr="00D21E0A">
        <w:rPr>
          <w:color w:val="auto"/>
        </w:rPr>
        <w:t>t</w:t>
      </w:r>
      <w:r w:rsidRPr="00D21E0A">
        <w:rPr>
          <w:color w:val="auto"/>
        </w:rPr>
        <w:t xml:space="preserve">scher Staatlichkeit ergeben sich daher ausweislich des </w:t>
      </w:r>
      <w:hyperlink r:id="rId9" w:anchor="focuspoint" w:history="1">
        <w:r w:rsidRPr="00D21E0A">
          <w:rPr>
            <w:rStyle w:val="Hyperlink"/>
            <w:color w:val="auto"/>
            <w:u w:val="none"/>
          </w:rPr>
          <w:t>Art. 23 Abs</w:t>
        </w:r>
        <w:r w:rsidR="00E95F45" w:rsidRPr="00D21E0A">
          <w:rPr>
            <w:rStyle w:val="Hyperlink"/>
            <w:color w:val="auto"/>
            <w:u w:val="none"/>
          </w:rPr>
          <w:t>.</w:t>
        </w:r>
        <w:r w:rsidR="00E95F45" w:rsidRPr="001D75DC">
          <w:rPr>
            <w:rStyle w:val="Hyperlink"/>
            <w:color w:val="auto"/>
            <w:u w:val="none"/>
          </w:rPr>
          <w:t> </w:t>
        </w:r>
        <w:r w:rsidRPr="00D21E0A">
          <w:rPr>
            <w:rStyle w:val="Hyperlink"/>
            <w:color w:val="auto"/>
            <w:u w:val="none"/>
          </w:rPr>
          <w:t xml:space="preserve">1 </w:t>
        </w:r>
        <w:r w:rsidR="00E95F45" w:rsidRPr="00D21E0A">
          <w:rPr>
            <w:rStyle w:val="Hyperlink"/>
            <w:color w:val="auto"/>
            <w:u w:val="none"/>
          </w:rPr>
          <w:t>Satz</w:t>
        </w:r>
        <w:r w:rsidR="00E95F45" w:rsidRPr="001D75DC">
          <w:rPr>
            <w:rStyle w:val="Hyperlink"/>
            <w:color w:val="auto"/>
            <w:u w:val="none"/>
          </w:rPr>
          <w:t> </w:t>
        </w:r>
        <w:r w:rsidRPr="00D21E0A">
          <w:rPr>
            <w:rStyle w:val="Hyperlink"/>
            <w:color w:val="auto"/>
            <w:u w:val="none"/>
          </w:rPr>
          <w:t>3 GG</w:t>
        </w:r>
      </w:hyperlink>
      <w:r w:rsidRPr="00D21E0A">
        <w:rPr>
          <w:color w:val="auto"/>
        </w:rPr>
        <w:t xml:space="preserve"> aus der in </w:t>
      </w:r>
      <w:hyperlink r:id="rId10" w:anchor="focuspoint" w:history="1">
        <w:r w:rsidRPr="00D21E0A">
          <w:rPr>
            <w:rStyle w:val="Hyperlink"/>
            <w:color w:val="auto"/>
            <w:u w:val="none"/>
          </w:rPr>
          <w:t>Art. 79 Abs</w:t>
        </w:r>
        <w:r w:rsidR="00E95F45" w:rsidRPr="00D21E0A">
          <w:rPr>
            <w:rStyle w:val="Hyperlink"/>
            <w:color w:val="auto"/>
            <w:u w:val="none"/>
          </w:rPr>
          <w:t>.</w:t>
        </w:r>
        <w:r w:rsidR="00E95F45" w:rsidRPr="001D75DC">
          <w:rPr>
            <w:rStyle w:val="Hyperlink"/>
            <w:color w:val="auto"/>
            <w:u w:val="none"/>
          </w:rPr>
          <w:t> </w:t>
        </w:r>
        <w:r w:rsidRPr="00D21E0A">
          <w:rPr>
            <w:rStyle w:val="Hyperlink"/>
            <w:color w:val="auto"/>
            <w:u w:val="none"/>
          </w:rPr>
          <w:t>3 GG</w:t>
        </w:r>
      </w:hyperlink>
      <w:r w:rsidRPr="00D21E0A">
        <w:rPr>
          <w:color w:val="auto"/>
        </w:rPr>
        <w:t xml:space="preserve"> niedergelegten Verfassungsidentität des Grundgesetzes und dem gemäß </w:t>
      </w:r>
      <w:hyperlink r:id="rId11" w:anchor="focuspoint" w:history="1">
        <w:r w:rsidRPr="00D21E0A">
          <w:rPr>
            <w:rStyle w:val="Hyperlink"/>
            <w:color w:val="auto"/>
            <w:u w:val="none"/>
          </w:rPr>
          <w:t>Art. 23 Abs</w:t>
        </w:r>
        <w:r w:rsidR="00E95F45" w:rsidRPr="00D21E0A">
          <w:rPr>
            <w:rStyle w:val="Hyperlink"/>
            <w:color w:val="auto"/>
            <w:u w:val="none"/>
          </w:rPr>
          <w:t>.</w:t>
        </w:r>
        <w:r w:rsidR="00E95F45" w:rsidRPr="001D75DC">
          <w:rPr>
            <w:rStyle w:val="Hyperlink"/>
            <w:color w:val="auto"/>
            <w:u w:val="none"/>
          </w:rPr>
          <w:t> </w:t>
        </w:r>
        <w:r w:rsidRPr="00D21E0A">
          <w:rPr>
            <w:rStyle w:val="Hyperlink"/>
            <w:color w:val="auto"/>
            <w:u w:val="none"/>
          </w:rPr>
          <w:t xml:space="preserve">1 </w:t>
        </w:r>
        <w:r w:rsidR="00E95F45" w:rsidRPr="00D21E0A">
          <w:rPr>
            <w:rStyle w:val="Hyperlink"/>
            <w:color w:val="auto"/>
            <w:u w:val="none"/>
          </w:rPr>
          <w:t>Satz</w:t>
        </w:r>
        <w:r w:rsidR="00E95F45" w:rsidRPr="001D75DC">
          <w:rPr>
            <w:rStyle w:val="Hyperlink"/>
            <w:color w:val="auto"/>
            <w:u w:val="none"/>
          </w:rPr>
          <w:t> </w:t>
        </w:r>
        <w:r w:rsidRPr="00D21E0A">
          <w:rPr>
            <w:rStyle w:val="Hyperlink"/>
            <w:color w:val="auto"/>
            <w:u w:val="none"/>
          </w:rPr>
          <w:t>2 GG</w:t>
        </w:r>
      </w:hyperlink>
      <w:r w:rsidRPr="00D21E0A">
        <w:t xml:space="preserve"> im Zustimmungsgesetz niedergelegten Integrat</w:t>
      </w:r>
      <w:r w:rsidRPr="00D21E0A">
        <w:t>i</w:t>
      </w:r>
      <w:r w:rsidRPr="00D21E0A">
        <w:t>onsprogramm, das dem Unionsrecht für Deutschland erst die notwendige demokrat</w:t>
      </w:r>
      <w:r w:rsidRPr="00D21E0A">
        <w:t>i</w:t>
      </w:r>
      <w:r w:rsidRPr="00D21E0A">
        <w:t>sche Legitimation verleiht.</w:t>
      </w:r>
      <w:r w:rsidR="00A05A75" w:rsidRPr="00D21E0A">
        <w:t>“</w:t>
      </w:r>
      <w:r w:rsidRPr="00D21E0A">
        <w:rPr>
          <w:rStyle w:val="Funotenzeichen"/>
          <w:rFonts w:ascii="Times New Roman" w:hAnsi="Times New Roman" w:cs="Times New Roman"/>
          <w:sz w:val="24"/>
        </w:rPr>
        <w:footnoteReference w:id="53"/>
      </w:r>
    </w:p>
    <w:p w:rsidR="00A451E0" w:rsidRPr="004C738A" w:rsidRDefault="00A451E0" w:rsidP="006D0400">
      <w:pPr>
        <w:rPr>
          <w:rFonts w:ascii="Times New Roman" w:hAnsi="Times New Roman"/>
          <w:sz w:val="24"/>
          <w:szCs w:val="24"/>
        </w:rPr>
      </w:pPr>
    </w:p>
    <w:p w:rsidR="006D0400" w:rsidRPr="004C738A" w:rsidRDefault="003F70FC" w:rsidP="006D0400">
      <w:pPr>
        <w:rPr>
          <w:rFonts w:ascii="Times New Roman" w:hAnsi="Times New Roman"/>
          <w:sz w:val="24"/>
          <w:szCs w:val="24"/>
        </w:rPr>
      </w:pPr>
      <w:r w:rsidRPr="004C738A">
        <w:rPr>
          <w:rFonts w:ascii="Times New Roman" w:hAnsi="Times New Roman"/>
          <w:sz w:val="24"/>
          <w:szCs w:val="24"/>
        </w:rPr>
        <w:t>Vor diesem Hintergrund</w:t>
      </w:r>
      <w:r w:rsidR="006D0400" w:rsidRPr="004C738A">
        <w:rPr>
          <w:rFonts w:ascii="Times New Roman" w:hAnsi="Times New Roman"/>
          <w:sz w:val="24"/>
          <w:szCs w:val="24"/>
        </w:rPr>
        <w:t xml:space="preserve"> kommen den nationalen </w:t>
      </w:r>
      <w:r w:rsidRPr="004C738A">
        <w:rPr>
          <w:rFonts w:ascii="Times New Roman" w:hAnsi="Times New Roman"/>
          <w:sz w:val="24"/>
          <w:szCs w:val="24"/>
        </w:rPr>
        <w:t>(</w:t>
      </w:r>
      <w:r w:rsidR="006D0400" w:rsidRPr="004C738A">
        <w:rPr>
          <w:rFonts w:ascii="Times New Roman" w:hAnsi="Times New Roman"/>
          <w:sz w:val="24"/>
          <w:szCs w:val="24"/>
        </w:rPr>
        <w:t>Verfassungs</w:t>
      </w:r>
      <w:r w:rsidRPr="004C738A">
        <w:rPr>
          <w:rFonts w:ascii="Times New Roman" w:hAnsi="Times New Roman"/>
          <w:sz w:val="24"/>
          <w:szCs w:val="24"/>
        </w:rPr>
        <w:t>-)G</w:t>
      </w:r>
      <w:r w:rsidR="006D0400" w:rsidRPr="004C738A">
        <w:rPr>
          <w:rFonts w:ascii="Times New Roman" w:hAnsi="Times New Roman"/>
          <w:sz w:val="24"/>
          <w:szCs w:val="24"/>
        </w:rPr>
        <w:t>erichten vor allem drei Aufgaben zu: die Durchsetzung des Unionsrechts (a), die Beachtung des Integrationspr</w:t>
      </w:r>
      <w:r w:rsidR="006D0400" w:rsidRPr="004C738A">
        <w:rPr>
          <w:rFonts w:ascii="Times New Roman" w:hAnsi="Times New Roman"/>
          <w:sz w:val="24"/>
          <w:szCs w:val="24"/>
        </w:rPr>
        <w:t>o</w:t>
      </w:r>
      <w:r w:rsidR="006D0400" w:rsidRPr="004C738A">
        <w:rPr>
          <w:rFonts w:ascii="Times New Roman" w:hAnsi="Times New Roman"/>
          <w:sz w:val="24"/>
          <w:szCs w:val="24"/>
        </w:rPr>
        <w:t>gramm</w:t>
      </w:r>
      <w:r w:rsidR="004C738A" w:rsidRPr="004C738A">
        <w:rPr>
          <w:rFonts w:ascii="Times New Roman" w:hAnsi="Times New Roman"/>
          <w:sz w:val="24"/>
          <w:szCs w:val="24"/>
        </w:rPr>
        <w:t>s</w:t>
      </w:r>
      <w:r w:rsidR="006D0400" w:rsidRPr="004C738A">
        <w:rPr>
          <w:rFonts w:ascii="Times New Roman" w:hAnsi="Times New Roman"/>
          <w:sz w:val="24"/>
          <w:szCs w:val="24"/>
        </w:rPr>
        <w:t xml:space="preserve"> und die Sicherung der nationalen Verfassungsidentität (</w:t>
      </w:r>
      <w:r w:rsidR="00C454BF" w:rsidRPr="004C738A">
        <w:rPr>
          <w:rFonts w:ascii="Times New Roman" w:hAnsi="Times New Roman"/>
          <w:sz w:val="24"/>
          <w:szCs w:val="24"/>
        </w:rPr>
        <w:t>b</w:t>
      </w:r>
      <w:r w:rsidR="006D0400" w:rsidRPr="004C738A">
        <w:rPr>
          <w:rFonts w:ascii="Times New Roman" w:hAnsi="Times New Roman"/>
          <w:sz w:val="24"/>
          <w:szCs w:val="24"/>
        </w:rPr>
        <w:t xml:space="preserve">). </w:t>
      </w:r>
      <w:r w:rsidR="00C454BF" w:rsidRPr="004C738A">
        <w:rPr>
          <w:rFonts w:ascii="Times New Roman" w:hAnsi="Times New Roman"/>
          <w:sz w:val="24"/>
          <w:szCs w:val="24"/>
        </w:rPr>
        <w:t>Das ist – mit Nuancen im Detail – gemeineuropäischer Befund.</w:t>
      </w:r>
    </w:p>
    <w:p w:rsidR="006D0400" w:rsidRPr="004C738A" w:rsidRDefault="006D0400" w:rsidP="006D0400">
      <w:pPr>
        <w:rPr>
          <w:rFonts w:ascii="Times New Roman" w:hAnsi="Times New Roman"/>
          <w:sz w:val="24"/>
          <w:szCs w:val="24"/>
        </w:rPr>
      </w:pPr>
    </w:p>
    <w:p w:rsidR="00D564A5" w:rsidRPr="004C738A" w:rsidRDefault="006D0400" w:rsidP="001E6723">
      <w:pPr>
        <w:pStyle w:val="berschrift4"/>
        <w:jc w:val="center"/>
        <w:rPr>
          <w:rFonts w:ascii="Times New Roman" w:hAnsi="Times New Roman" w:cs="Times New Roman"/>
          <w:sz w:val="24"/>
          <w:szCs w:val="24"/>
        </w:rPr>
      </w:pPr>
      <w:bookmarkStart w:id="13" w:name="_Toc498362307"/>
      <w:r w:rsidRPr="004C738A">
        <w:rPr>
          <w:rFonts w:ascii="Times New Roman" w:hAnsi="Times New Roman" w:cs="Times New Roman"/>
          <w:sz w:val="24"/>
          <w:szCs w:val="24"/>
        </w:rPr>
        <w:t>a) Durchsetzung des Unionsrechts</w:t>
      </w:r>
      <w:bookmarkEnd w:id="13"/>
    </w:p>
    <w:p w:rsidR="00940178" w:rsidRPr="004C738A" w:rsidRDefault="00D564A5" w:rsidP="00211D1F">
      <w:pPr>
        <w:rPr>
          <w:rFonts w:ascii="Times New Roman" w:hAnsi="Times New Roman"/>
          <w:sz w:val="24"/>
          <w:szCs w:val="24"/>
        </w:rPr>
      </w:pPr>
      <w:r w:rsidRPr="004C738A">
        <w:rPr>
          <w:rFonts w:ascii="Times New Roman" w:hAnsi="Times New Roman"/>
          <w:sz w:val="24"/>
          <w:szCs w:val="24"/>
        </w:rPr>
        <w:t xml:space="preserve">aa) </w:t>
      </w:r>
      <w:r w:rsidR="00940178" w:rsidRPr="004C738A">
        <w:rPr>
          <w:rFonts w:ascii="Times New Roman" w:hAnsi="Times New Roman"/>
          <w:sz w:val="24"/>
          <w:szCs w:val="24"/>
        </w:rPr>
        <w:t>Die Aufgabe der „Wahrung des Rechts bei der Auslegung und Anwendung der Verträge“ kann nicht durch den Gerichtshof der Europäischen Union allein geleistet werden. Deshalb nimmt namentlich Art. 19 Abs</w:t>
      </w:r>
      <w:r w:rsidR="00E95F45" w:rsidRPr="004C738A">
        <w:rPr>
          <w:rFonts w:ascii="Times New Roman" w:hAnsi="Times New Roman"/>
          <w:sz w:val="24"/>
          <w:szCs w:val="24"/>
        </w:rPr>
        <w:t>.</w:t>
      </w:r>
      <w:r w:rsidR="00E95F45">
        <w:rPr>
          <w:rFonts w:ascii="Times New Roman" w:hAnsi="Times New Roman"/>
          <w:sz w:val="24"/>
          <w:szCs w:val="24"/>
        </w:rPr>
        <w:t> </w:t>
      </w:r>
      <w:r w:rsidR="00940178" w:rsidRPr="004C738A">
        <w:rPr>
          <w:rFonts w:ascii="Times New Roman" w:hAnsi="Times New Roman"/>
          <w:sz w:val="24"/>
          <w:szCs w:val="24"/>
        </w:rPr>
        <w:t>1 UAbs</w:t>
      </w:r>
      <w:r w:rsidR="00E95F45" w:rsidRPr="004C738A">
        <w:rPr>
          <w:rFonts w:ascii="Times New Roman" w:hAnsi="Times New Roman"/>
          <w:sz w:val="24"/>
          <w:szCs w:val="24"/>
        </w:rPr>
        <w:t>.</w:t>
      </w:r>
      <w:r w:rsidR="00E95F45">
        <w:rPr>
          <w:rFonts w:ascii="Times New Roman" w:hAnsi="Times New Roman"/>
          <w:sz w:val="24"/>
          <w:szCs w:val="24"/>
        </w:rPr>
        <w:t> </w:t>
      </w:r>
      <w:r w:rsidR="00940178" w:rsidRPr="004C738A">
        <w:rPr>
          <w:rFonts w:ascii="Times New Roman" w:hAnsi="Times New Roman"/>
          <w:sz w:val="24"/>
          <w:szCs w:val="24"/>
        </w:rPr>
        <w:t xml:space="preserve">2 </w:t>
      </w:r>
      <w:r w:rsidRPr="004C738A">
        <w:rPr>
          <w:rFonts w:ascii="Times New Roman" w:hAnsi="Times New Roman"/>
          <w:sz w:val="24"/>
          <w:szCs w:val="24"/>
        </w:rPr>
        <w:t xml:space="preserve">EUV </w:t>
      </w:r>
      <w:r w:rsidR="00940178" w:rsidRPr="004C738A">
        <w:rPr>
          <w:rFonts w:ascii="Times New Roman" w:hAnsi="Times New Roman"/>
          <w:sz w:val="24"/>
          <w:szCs w:val="24"/>
        </w:rPr>
        <w:t>die Mitgliedstaaten und ihre Gerichte in die Pflicht, damit ein wirksamer Rechtsschutz in den vom Unionsrecht erfassten Bereichen g</w:t>
      </w:r>
      <w:r w:rsidR="00940178" w:rsidRPr="004C738A">
        <w:rPr>
          <w:rFonts w:ascii="Times New Roman" w:hAnsi="Times New Roman"/>
          <w:sz w:val="24"/>
          <w:szCs w:val="24"/>
        </w:rPr>
        <w:t>e</w:t>
      </w:r>
      <w:r w:rsidR="00940178" w:rsidRPr="004C738A">
        <w:rPr>
          <w:rFonts w:ascii="Times New Roman" w:hAnsi="Times New Roman"/>
          <w:sz w:val="24"/>
          <w:szCs w:val="24"/>
        </w:rPr>
        <w:t xml:space="preserve">währleistet ist. Der Vertrag kodifiziert damit nicht nur die Vorgaben, die der EuGH in der Rechtssache </w:t>
      </w:r>
      <w:r w:rsidR="00940178" w:rsidRPr="004C738A">
        <w:rPr>
          <w:rFonts w:ascii="Times New Roman" w:hAnsi="Times New Roman"/>
          <w:i/>
          <w:sz w:val="24"/>
          <w:szCs w:val="24"/>
        </w:rPr>
        <w:t>Unión de Peque</w:t>
      </w:r>
      <w:r w:rsidR="00940178" w:rsidRPr="004C738A">
        <w:rPr>
          <w:rFonts w:ascii="Times New Roman" w:hAnsi="Times New Roman"/>
          <w:i/>
          <w:sz w:val="24"/>
          <w:szCs w:val="24"/>
          <w:lang w:val="es-ES"/>
        </w:rPr>
        <w:t>ñ</w:t>
      </w:r>
      <w:r w:rsidR="00940178" w:rsidRPr="004C738A">
        <w:rPr>
          <w:rFonts w:ascii="Times New Roman" w:hAnsi="Times New Roman"/>
          <w:i/>
          <w:sz w:val="24"/>
          <w:szCs w:val="24"/>
        </w:rPr>
        <w:t>os Agricultores</w:t>
      </w:r>
      <w:r w:rsidR="00940178" w:rsidRPr="004C738A">
        <w:rPr>
          <w:rStyle w:val="Funotenzeichen"/>
          <w:rFonts w:ascii="Times New Roman" w:hAnsi="Times New Roman" w:cs="Times New Roman"/>
          <w:sz w:val="24"/>
          <w:szCs w:val="24"/>
        </w:rPr>
        <w:footnoteReference w:id="54"/>
      </w:r>
      <w:r w:rsidR="00940178" w:rsidRPr="004C738A">
        <w:rPr>
          <w:rFonts w:ascii="Times New Roman" w:hAnsi="Times New Roman"/>
          <w:sz w:val="24"/>
          <w:szCs w:val="24"/>
        </w:rPr>
        <w:t xml:space="preserve"> formuliert hat; er bestätigt zugleich das auch im Rahmen der Rechtsprechung bestehende Kooperationsverhältnis zwischen unionalen und nationalen Gerichten.</w:t>
      </w:r>
      <w:r w:rsidR="00940178" w:rsidRPr="004C738A">
        <w:rPr>
          <w:rStyle w:val="Funotenzeichen"/>
          <w:rFonts w:ascii="Times New Roman" w:hAnsi="Times New Roman" w:cs="Times New Roman"/>
          <w:sz w:val="24"/>
          <w:szCs w:val="24"/>
        </w:rPr>
        <w:footnoteReference w:id="55"/>
      </w:r>
    </w:p>
    <w:p w:rsidR="00940178" w:rsidRPr="004C738A" w:rsidRDefault="00940178" w:rsidP="00D564A5">
      <w:pPr>
        <w:rPr>
          <w:rFonts w:ascii="Times New Roman" w:hAnsi="Times New Roman"/>
          <w:sz w:val="24"/>
          <w:szCs w:val="24"/>
        </w:rPr>
      </w:pPr>
    </w:p>
    <w:p w:rsidR="00D564A5" w:rsidRPr="004C738A" w:rsidRDefault="00940178" w:rsidP="00211D1F">
      <w:pPr>
        <w:rPr>
          <w:rFonts w:ascii="Times New Roman" w:hAnsi="Times New Roman"/>
          <w:sz w:val="24"/>
          <w:szCs w:val="24"/>
        </w:rPr>
      </w:pPr>
      <w:r w:rsidRPr="004C738A">
        <w:rPr>
          <w:rFonts w:ascii="Times New Roman" w:hAnsi="Times New Roman"/>
          <w:sz w:val="24"/>
          <w:szCs w:val="24"/>
        </w:rPr>
        <w:t>Das Unionsrecht besitzt unmittelbare Geltung in jedem Mitgliedstaat und ist deshalb auch Prüfungsmaßstab der nationalen Gerichte. Diese haben es auszulegen, anzuwenden und im Rahmen ihrer Zuständigkeit für seine praktische Wirksamkeit Sorge zu tragen. Insoweit we</w:t>
      </w:r>
      <w:r w:rsidRPr="004C738A">
        <w:rPr>
          <w:rFonts w:ascii="Times New Roman" w:hAnsi="Times New Roman"/>
          <w:sz w:val="24"/>
          <w:szCs w:val="24"/>
        </w:rPr>
        <w:t>r</w:t>
      </w:r>
      <w:r w:rsidRPr="004C738A">
        <w:rPr>
          <w:rFonts w:ascii="Times New Roman" w:hAnsi="Times New Roman"/>
          <w:sz w:val="24"/>
          <w:szCs w:val="24"/>
        </w:rPr>
        <w:lastRenderedPageBreak/>
        <w:t>den sie als funktionale Unionsgerichte</w:t>
      </w:r>
      <w:r w:rsidRPr="004C738A">
        <w:rPr>
          <w:rStyle w:val="Funotenzeichen"/>
          <w:rFonts w:ascii="Times New Roman" w:hAnsi="Times New Roman" w:cs="Times New Roman"/>
          <w:sz w:val="24"/>
          <w:szCs w:val="24"/>
        </w:rPr>
        <w:footnoteReference w:id="56"/>
      </w:r>
      <w:r w:rsidRPr="004C738A">
        <w:rPr>
          <w:rFonts w:ascii="Times New Roman" w:hAnsi="Times New Roman"/>
          <w:sz w:val="24"/>
          <w:szCs w:val="24"/>
        </w:rPr>
        <w:t xml:space="preserve"> tätig. Dies ergibt sich sowohl aus nationalem (Ve</w:t>
      </w:r>
      <w:r w:rsidRPr="004C738A">
        <w:rPr>
          <w:rFonts w:ascii="Times New Roman" w:hAnsi="Times New Roman"/>
          <w:sz w:val="24"/>
          <w:szCs w:val="24"/>
        </w:rPr>
        <w:t>r</w:t>
      </w:r>
      <w:r w:rsidRPr="004C738A">
        <w:rPr>
          <w:rFonts w:ascii="Times New Roman" w:hAnsi="Times New Roman"/>
          <w:sz w:val="24"/>
          <w:szCs w:val="24"/>
        </w:rPr>
        <w:t>fassungs-</w:t>
      </w:r>
      <w:r w:rsidRPr="00D922D2">
        <w:rPr>
          <w:rFonts w:ascii="Times New Roman" w:hAnsi="Times New Roman"/>
          <w:sz w:val="24"/>
          <w:szCs w:val="24"/>
        </w:rPr>
        <w:t>)Recht (z.B. Art. 23 Abs. 1 GG i</w:t>
      </w:r>
      <w:r w:rsidR="002D07EA" w:rsidRPr="00D922D2">
        <w:rPr>
          <w:rFonts w:ascii="Times New Roman" w:hAnsi="Times New Roman"/>
          <w:sz w:val="24"/>
          <w:szCs w:val="24"/>
        </w:rPr>
        <w:t>.</w:t>
      </w:r>
      <w:r w:rsidRPr="00D922D2">
        <w:rPr>
          <w:rFonts w:ascii="Times New Roman" w:hAnsi="Times New Roman"/>
          <w:sz w:val="24"/>
          <w:szCs w:val="24"/>
        </w:rPr>
        <w:t>V</w:t>
      </w:r>
      <w:r w:rsidR="002D07EA" w:rsidRPr="00D922D2">
        <w:rPr>
          <w:rFonts w:ascii="Times New Roman" w:hAnsi="Times New Roman"/>
          <w:sz w:val="24"/>
          <w:szCs w:val="24"/>
        </w:rPr>
        <w:t>.</w:t>
      </w:r>
      <w:r w:rsidRPr="00D922D2">
        <w:rPr>
          <w:rFonts w:ascii="Times New Roman" w:hAnsi="Times New Roman"/>
          <w:sz w:val="24"/>
          <w:szCs w:val="24"/>
        </w:rPr>
        <w:t>m</w:t>
      </w:r>
      <w:r w:rsidR="002D07EA" w:rsidRPr="00D922D2">
        <w:rPr>
          <w:rFonts w:ascii="Times New Roman" w:hAnsi="Times New Roman"/>
          <w:sz w:val="24"/>
          <w:szCs w:val="24"/>
        </w:rPr>
        <w:t>.</w:t>
      </w:r>
      <w:r w:rsidRPr="00D922D2">
        <w:rPr>
          <w:rFonts w:ascii="Times New Roman" w:hAnsi="Times New Roman"/>
          <w:sz w:val="24"/>
          <w:szCs w:val="24"/>
        </w:rPr>
        <w:t xml:space="preserve"> </w:t>
      </w:r>
      <w:r w:rsidR="00FD43B9" w:rsidRPr="00D922D2">
        <w:rPr>
          <w:rFonts w:ascii="Times New Roman" w:hAnsi="Times New Roman"/>
          <w:sz w:val="24"/>
          <w:szCs w:val="24"/>
        </w:rPr>
        <w:t xml:space="preserve">dem </w:t>
      </w:r>
      <w:r w:rsidRPr="00D922D2">
        <w:rPr>
          <w:rFonts w:ascii="Times New Roman" w:hAnsi="Times New Roman"/>
          <w:sz w:val="24"/>
          <w:szCs w:val="24"/>
        </w:rPr>
        <w:t>Zust</w:t>
      </w:r>
      <w:r w:rsidR="00FD43B9" w:rsidRPr="00D922D2">
        <w:rPr>
          <w:rFonts w:ascii="Times New Roman" w:hAnsi="Times New Roman"/>
          <w:sz w:val="24"/>
          <w:szCs w:val="24"/>
        </w:rPr>
        <w:t xml:space="preserve">immungsgesetz zu den Verträgen </w:t>
      </w:r>
      <w:r w:rsidRPr="00D922D2">
        <w:rPr>
          <w:rFonts w:ascii="Times New Roman" w:hAnsi="Times New Roman"/>
          <w:sz w:val="24"/>
          <w:szCs w:val="24"/>
        </w:rPr>
        <w:t>und Art. 20</w:t>
      </w:r>
      <w:r w:rsidRPr="004C738A">
        <w:rPr>
          <w:rFonts w:ascii="Times New Roman" w:hAnsi="Times New Roman"/>
          <w:sz w:val="24"/>
          <w:szCs w:val="24"/>
        </w:rPr>
        <w:t xml:space="preserve"> Abs</w:t>
      </w:r>
      <w:r w:rsidR="00F15739" w:rsidRPr="004C738A">
        <w:rPr>
          <w:rFonts w:ascii="Times New Roman" w:hAnsi="Times New Roman"/>
          <w:sz w:val="24"/>
          <w:szCs w:val="24"/>
        </w:rPr>
        <w:t>.</w:t>
      </w:r>
      <w:r w:rsidR="00F15739">
        <w:rPr>
          <w:rFonts w:ascii="Times New Roman" w:hAnsi="Times New Roman"/>
          <w:sz w:val="24"/>
          <w:szCs w:val="24"/>
        </w:rPr>
        <w:t> </w:t>
      </w:r>
      <w:r w:rsidRPr="004C738A">
        <w:rPr>
          <w:rFonts w:ascii="Times New Roman" w:hAnsi="Times New Roman"/>
          <w:sz w:val="24"/>
          <w:szCs w:val="24"/>
        </w:rPr>
        <w:t>3 GG) als auch dem Unionsrecht selbst und wird durch das Gebot der loy</w:t>
      </w:r>
      <w:r w:rsidRPr="004C738A">
        <w:rPr>
          <w:rFonts w:ascii="Times New Roman" w:hAnsi="Times New Roman"/>
          <w:sz w:val="24"/>
          <w:szCs w:val="24"/>
        </w:rPr>
        <w:t>a</w:t>
      </w:r>
      <w:r w:rsidRPr="004C738A">
        <w:rPr>
          <w:rFonts w:ascii="Times New Roman" w:hAnsi="Times New Roman"/>
          <w:sz w:val="24"/>
          <w:szCs w:val="24"/>
        </w:rPr>
        <w:t>len Zusammenarbeit, der Unionstreue (Art</w:t>
      </w:r>
      <w:r w:rsidR="00F15739" w:rsidRPr="004C738A">
        <w:rPr>
          <w:rFonts w:ascii="Times New Roman" w:hAnsi="Times New Roman"/>
          <w:sz w:val="24"/>
          <w:szCs w:val="24"/>
        </w:rPr>
        <w:t>.</w:t>
      </w:r>
      <w:r w:rsidR="00F15739">
        <w:rPr>
          <w:rFonts w:ascii="Times New Roman" w:hAnsi="Times New Roman"/>
          <w:sz w:val="24"/>
          <w:szCs w:val="24"/>
        </w:rPr>
        <w:t> </w:t>
      </w:r>
      <w:r w:rsidRPr="004C738A">
        <w:rPr>
          <w:rFonts w:ascii="Times New Roman" w:hAnsi="Times New Roman"/>
          <w:sz w:val="24"/>
          <w:szCs w:val="24"/>
        </w:rPr>
        <w:t>4 Abs</w:t>
      </w:r>
      <w:r w:rsidR="00F15739" w:rsidRPr="004C738A">
        <w:rPr>
          <w:rFonts w:ascii="Times New Roman" w:hAnsi="Times New Roman"/>
          <w:sz w:val="24"/>
          <w:szCs w:val="24"/>
        </w:rPr>
        <w:t>.</w:t>
      </w:r>
      <w:r w:rsidR="00F15739">
        <w:rPr>
          <w:rFonts w:ascii="Times New Roman" w:hAnsi="Times New Roman"/>
          <w:sz w:val="24"/>
          <w:szCs w:val="24"/>
        </w:rPr>
        <w:t> </w:t>
      </w:r>
      <w:r w:rsidRPr="004C738A">
        <w:rPr>
          <w:rFonts w:ascii="Times New Roman" w:hAnsi="Times New Roman"/>
          <w:sz w:val="24"/>
          <w:szCs w:val="24"/>
        </w:rPr>
        <w:t>3)</w:t>
      </w:r>
      <w:r w:rsidR="00D564A5" w:rsidRPr="004C738A">
        <w:rPr>
          <w:rFonts w:ascii="Times New Roman" w:hAnsi="Times New Roman"/>
          <w:sz w:val="24"/>
          <w:szCs w:val="24"/>
        </w:rPr>
        <w:t>,</w:t>
      </w:r>
      <w:r w:rsidRPr="004C738A">
        <w:rPr>
          <w:rFonts w:ascii="Times New Roman" w:hAnsi="Times New Roman"/>
          <w:sz w:val="24"/>
          <w:szCs w:val="24"/>
        </w:rPr>
        <w:t xml:space="preserve"> bekräftigt. </w:t>
      </w:r>
    </w:p>
    <w:p w:rsidR="00D564A5" w:rsidRPr="004C738A" w:rsidRDefault="00D564A5" w:rsidP="00211D1F">
      <w:pPr>
        <w:spacing w:line="312" w:lineRule="auto"/>
        <w:rPr>
          <w:rFonts w:ascii="Times New Roman" w:hAnsi="Times New Roman"/>
          <w:sz w:val="24"/>
          <w:szCs w:val="24"/>
        </w:rPr>
      </w:pPr>
    </w:p>
    <w:p w:rsidR="00D564A5" w:rsidRPr="004C738A" w:rsidRDefault="00940178" w:rsidP="00211D1F">
      <w:pPr>
        <w:rPr>
          <w:rFonts w:ascii="Times New Roman" w:hAnsi="Times New Roman"/>
          <w:sz w:val="24"/>
          <w:szCs w:val="24"/>
        </w:rPr>
      </w:pPr>
      <w:r w:rsidRPr="004C738A">
        <w:rPr>
          <w:rFonts w:ascii="Times New Roman" w:hAnsi="Times New Roman"/>
          <w:sz w:val="24"/>
          <w:szCs w:val="24"/>
        </w:rPr>
        <w:t>Obwohl die Gerichte der Mitgliedstaaten dazu berufen sind, das Unionsrecht anzuwenden, soll über Auslegungsprobleme doch der EuGH befinden. Eine hierarchische Über- und Unte</w:t>
      </w:r>
      <w:r w:rsidRPr="004C738A">
        <w:rPr>
          <w:rFonts w:ascii="Times New Roman" w:hAnsi="Times New Roman"/>
          <w:sz w:val="24"/>
          <w:szCs w:val="24"/>
        </w:rPr>
        <w:t>r</w:t>
      </w:r>
      <w:r w:rsidRPr="004C738A">
        <w:rPr>
          <w:rFonts w:ascii="Times New Roman" w:hAnsi="Times New Roman"/>
          <w:sz w:val="24"/>
          <w:szCs w:val="24"/>
        </w:rPr>
        <w:t>ordnung von unionalen und nationalen Gerichten geht damit nicht einher. Vielmehr soll durch das Vorabentscheidungsverfahren „die rechtmäßige Autorität des nationalen Richters mit der notwendigen Einheitlichkeit des [Unions-]rechts in Einklang“ gebracht werden.</w:t>
      </w:r>
      <w:r w:rsidRPr="004C738A">
        <w:rPr>
          <w:rStyle w:val="Funotenzeichen"/>
          <w:rFonts w:ascii="Times New Roman" w:hAnsi="Times New Roman" w:cs="Times New Roman"/>
          <w:sz w:val="24"/>
          <w:szCs w:val="24"/>
        </w:rPr>
        <w:footnoteReference w:id="57"/>
      </w:r>
      <w:r w:rsidR="00D564A5" w:rsidRPr="004C738A">
        <w:rPr>
          <w:rFonts w:ascii="Times New Roman" w:hAnsi="Times New Roman"/>
          <w:sz w:val="24"/>
          <w:szCs w:val="24"/>
        </w:rPr>
        <w:t xml:space="preserve"> </w:t>
      </w:r>
      <w:r w:rsidRPr="004C738A">
        <w:rPr>
          <w:rFonts w:ascii="Times New Roman" w:hAnsi="Times New Roman"/>
          <w:sz w:val="24"/>
          <w:szCs w:val="24"/>
        </w:rPr>
        <w:t>Das darin erkennbar werdende Kooperationsverhältnis zwischen unionalen und nationalen Gerichten</w:t>
      </w:r>
      <w:r w:rsidRPr="004C738A">
        <w:rPr>
          <w:rStyle w:val="Funotenzeichen"/>
          <w:rFonts w:ascii="Times New Roman" w:hAnsi="Times New Roman" w:cs="Times New Roman"/>
          <w:sz w:val="24"/>
          <w:szCs w:val="24"/>
        </w:rPr>
        <w:footnoteReference w:id="58"/>
      </w:r>
      <w:r w:rsidRPr="004C738A">
        <w:rPr>
          <w:rFonts w:ascii="Times New Roman" w:hAnsi="Times New Roman"/>
          <w:sz w:val="24"/>
          <w:szCs w:val="24"/>
        </w:rPr>
        <w:t xml:space="preserve"> hat der EuGH wiederholt hervorgehoben</w:t>
      </w:r>
      <w:r w:rsidR="00D564A5" w:rsidRPr="004C738A">
        <w:rPr>
          <w:rFonts w:ascii="Times New Roman" w:hAnsi="Times New Roman"/>
          <w:sz w:val="24"/>
          <w:szCs w:val="24"/>
        </w:rPr>
        <w:t>.</w:t>
      </w:r>
      <w:r w:rsidRPr="004C738A">
        <w:rPr>
          <w:rStyle w:val="Funotenzeichen"/>
          <w:rFonts w:ascii="Times New Roman" w:hAnsi="Times New Roman" w:cs="Times New Roman"/>
          <w:sz w:val="24"/>
          <w:szCs w:val="24"/>
        </w:rPr>
        <w:footnoteReference w:id="59"/>
      </w:r>
      <w:r w:rsidRPr="004C738A">
        <w:rPr>
          <w:rFonts w:ascii="Times New Roman" w:hAnsi="Times New Roman"/>
          <w:sz w:val="24"/>
          <w:szCs w:val="24"/>
        </w:rPr>
        <w:t xml:space="preserve"> </w:t>
      </w:r>
      <w:r w:rsidR="00D564A5" w:rsidRPr="004C738A">
        <w:rPr>
          <w:rFonts w:ascii="Times New Roman" w:hAnsi="Times New Roman"/>
          <w:sz w:val="24"/>
          <w:szCs w:val="24"/>
        </w:rPr>
        <w:t xml:space="preserve">So heißt es </w:t>
      </w:r>
      <w:r w:rsidRPr="004C738A">
        <w:rPr>
          <w:rFonts w:ascii="Times New Roman" w:hAnsi="Times New Roman"/>
          <w:sz w:val="24"/>
          <w:szCs w:val="24"/>
        </w:rPr>
        <w:t>in der</w:t>
      </w:r>
      <w:r w:rsidR="00D564A5" w:rsidRPr="004C738A">
        <w:rPr>
          <w:rFonts w:ascii="Times New Roman" w:hAnsi="Times New Roman"/>
          <w:sz w:val="24"/>
          <w:szCs w:val="24"/>
        </w:rPr>
        <w:t xml:space="preserve"> insoweit noch immer grundl</w:t>
      </w:r>
      <w:r w:rsidR="00D564A5" w:rsidRPr="004C738A">
        <w:rPr>
          <w:rFonts w:ascii="Times New Roman" w:hAnsi="Times New Roman"/>
          <w:sz w:val="24"/>
          <w:szCs w:val="24"/>
        </w:rPr>
        <w:t>e</w:t>
      </w:r>
      <w:r w:rsidR="00D564A5" w:rsidRPr="004C738A">
        <w:rPr>
          <w:rFonts w:ascii="Times New Roman" w:hAnsi="Times New Roman"/>
          <w:sz w:val="24"/>
          <w:szCs w:val="24"/>
        </w:rPr>
        <w:t>genden</w:t>
      </w:r>
      <w:r w:rsidRPr="004C738A">
        <w:rPr>
          <w:rFonts w:ascii="Times New Roman" w:hAnsi="Times New Roman"/>
          <w:sz w:val="24"/>
          <w:szCs w:val="24"/>
        </w:rPr>
        <w:t xml:space="preserve"> R</w:t>
      </w:r>
      <w:r w:rsidR="00D564A5" w:rsidRPr="004C738A">
        <w:rPr>
          <w:rFonts w:ascii="Times New Roman" w:hAnsi="Times New Roman"/>
          <w:sz w:val="24"/>
          <w:szCs w:val="24"/>
        </w:rPr>
        <w:t>s.</w:t>
      </w:r>
      <w:r w:rsidRPr="004C738A">
        <w:rPr>
          <w:rFonts w:ascii="Times New Roman" w:hAnsi="Times New Roman"/>
          <w:sz w:val="24"/>
          <w:szCs w:val="24"/>
        </w:rPr>
        <w:t xml:space="preserve"> </w:t>
      </w:r>
      <w:r w:rsidRPr="004C738A">
        <w:rPr>
          <w:rFonts w:ascii="Times New Roman" w:hAnsi="Times New Roman"/>
          <w:i/>
          <w:sz w:val="24"/>
          <w:szCs w:val="24"/>
        </w:rPr>
        <w:t>Foglia / Novello II</w:t>
      </w:r>
      <w:r w:rsidRPr="004C738A">
        <w:rPr>
          <w:rFonts w:ascii="Times New Roman" w:hAnsi="Times New Roman"/>
          <w:sz w:val="24"/>
          <w:szCs w:val="24"/>
        </w:rPr>
        <w:t xml:space="preserve">: Es sei </w:t>
      </w:r>
    </w:p>
    <w:p w:rsidR="00940178" w:rsidRPr="00D21E0A" w:rsidRDefault="00940178" w:rsidP="00211D1F">
      <w:pPr>
        <w:spacing w:line="240" w:lineRule="auto"/>
        <w:ind w:left="708"/>
        <w:rPr>
          <w:rFonts w:ascii="Times New Roman" w:hAnsi="Times New Roman"/>
          <w:sz w:val="24"/>
          <w:szCs w:val="24"/>
        </w:rPr>
      </w:pPr>
      <w:r w:rsidRPr="00D21E0A">
        <w:rPr>
          <w:rFonts w:ascii="Times New Roman" w:hAnsi="Times New Roman"/>
          <w:sz w:val="24"/>
          <w:szCs w:val="24"/>
        </w:rPr>
        <w:t>„daran zu erinnern, daß […] Art. 177 [267] im Interesse der ordnungsgemäßen A</w:t>
      </w:r>
      <w:r w:rsidRPr="00D21E0A">
        <w:rPr>
          <w:rFonts w:ascii="Times New Roman" w:hAnsi="Times New Roman"/>
          <w:sz w:val="24"/>
          <w:szCs w:val="24"/>
        </w:rPr>
        <w:t>n</w:t>
      </w:r>
      <w:r w:rsidRPr="00D21E0A">
        <w:rPr>
          <w:rFonts w:ascii="Times New Roman" w:hAnsi="Times New Roman"/>
          <w:sz w:val="24"/>
          <w:szCs w:val="24"/>
        </w:rPr>
        <w:t>wendung und einheitlichen Auslegung des Gemeinschaftsrechts in allen Mitgliedsta</w:t>
      </w:r>
      <w:r w:rsidRPr="00D21E0A">
        <w:rPr>
          <w:rFonts w:ascii="Times New Roman" w:hAnsi="Times New Roman"/>
          <w:sz w:val="24"/>
          <w:szCs w:val="24"/>
        </w:rPr>
        <w:t>a</w:t>
      </w:r>
      <w:r w:rsidRPr="00D21E0A">
        <w:rPr>
          <w:rFonts w:ascii="Times New Roman" w:hAnsi="Times New Roman"/>
          <w:sz w:val="24"/>
          <w:szCs w:val="24"/>
        </w:rPr>
        <w:t xml:space="preserve">ten von einer </w:t>
      </w:r>
      <w:r w:rsidRPr="006A6D36">
        <w:rPr>
          <w:rFonts w:ascii="Times New Roman" w:hAnsi="Times New Roman"/>
          <w:i/>
          <w:sz w:val="24"/>
          <w:szCs w:val="24"/>
        </w:rPr>
        <w:t>Zusammenarbeit</w:t>
      </w:r>
      <w:r w:rsidRPr="006A6D36">
        <w:rPr>
          <w:rFonts w:ascii="Times New Roman" w:hAnsi="Times New Roman"/>
          <w:sz w:val="24"/>
          <w:szCs w:val="24"/>
        </w:rPr>
        <w:t xml:space="preserve"> </w:t>
      </w:r>
      <w:r w:rsidRPr="00E35D05">
        <w:rPr>
          <w:rFonts w:ascii="Times New Roman" w:hAnsi="Times New Roman"/>
          <w:sz w:val="24"/>
          <w:szCs w:val="24"/>
        </w:rPr>
        <w:t>ausgeht, die auf einer Aufgabenteilung zwischen der innerstaatlichen Gerichtsbarkeit und dem Gerichtshof der Gemeinschaften beruht. Da die Hauptsache vor dem innerstaatlichen Gericht anhängig ist und dieses die Veran</w:t>
      </w:r>
      <w:r w:rsidRPr="00E35D05">
        <w:rPr>
          <w:rFonts w:ascii="Times New Roman" w:hAnsi="Times New Roman"/>
          <w:sz w:val="24"/>
          <w:szCs w:val="24"/>
        </w:rPr>
        <w:t>t</w:t>
      </w:r>
      <w:r w:rsidRPr="00E35D05">
        <w:rPr>
          <w:rFonts w:ascii="Times New Roman" w:hAnsi="Times New Roman"/>
          <w:sz w:val="24"/>
          <w:szCs w:val="24"/>
        </w:rPr>
        <w:t>wortung für die zu fällende Entscheidun</w:t>
      </w:r>
      <w:r w:rsidRPr="00D21E0A">
        <w:rPr>
          <w:rFonts w:ascii="Times New Roman" w:hAnsi="Times New Roman"/>
          <w:sz w:val="24"/>
          <w:szCs w:val="24"/>
        </w:rPr>
        <w:t>g zu tragen hat, ist es dabei dessen Aufgabe, im Hinblick auf den ihm zur Entscheidung vorgetragenen Sachverhalt zu beurteilen, ob für den Erlass seines Urteils die Beantwortung einer Frage im Wege der Voraben</w:t>
      </w:r>
      <w:r w:rsidRPr="00D21E0A">
        <w:rPr>
          <w:rFonts w:ascii="Times New Roman" w:hAnsi="Times New Roman"/>
          <w:sz w:val="24"/>
          <w:szCs w:val="24"/>
        </w:rPr>
        <w:t>t</w:t>
      </w:r>
      <w:r w:rsidRPr="00D21E0A">
        <w:rPr>
          <w:rFonts w:ascii="Times New Roman" w:hAnsi="Times New Roman"/>
          <w:sz w:val="24"/>
          <w:szCs w:val="24"/>
        </w:rPr>
        <w:t>scheidung erforderlich ist […] Wenn das innerstaatliche Gericht von diesem Beurte</w:t>
      </w:r>
      <w:r w:rsidRPr="00D21E0A">
        <w:rPr>
          <w:rFonts w:ascii="Times New Roman" w:hAnsi="Times New Roman"/>
          <w:sz w:val="24"/>
          <w:szCs w:val="24"/>
        </w:rPr>
        <w:t>i</w:t>
      </w:r>
      <w:r w:rsidRPr="00D21E0A">
        <w:rPr>
          <w:rFonts w:ascii="Times New Roman" w:hAnsi="Times New Roman"/>
          <w:sz w:val="24"/>
          <w:szCs w:val="24"/>
        </w:rPr>
        <w:t>lungsermessen Gebrauch macht, erfüllt es in Zusammenarbeit mit dem Gerichtshof e</w:t>
      </w:r>
      <w:r w:rsidRPr="00D21E0A">
        <w:rPr>
          <w:rFonts w:ascii="Times New Roman" w:hAnsi="Times New Roman"/>
          <w:sz w:val="24"/>
          <w:szCs w:val="24"/>
        </w:rPr>
        <w:t>i</w:t>
      </w:r>
      <w:r w:rsidRPr="00D21E0A">
        <w:rPr>
          <w:rFonts w:ascii="Times New Roman" w:hAnsi="Times New Roman"/>
          <w:sz w:val="24"/>
          <w:szCs w:val="24"/>
        </w:rPr>
        <w:t>ne Aufgabe, die beiden gemeinsam übertragen ist, um die Wahrung des Rechts bei der Anwendung und Auslegung des Vertrages zu sichern.“</w:t>
      </w:r>
      <w:r w:rsidRPr="00D21E0A">
        <w:rPr>
          <w:rStyle w:val="Funotenzeichen"/>
          <w:rFonts w:ascii="Times New Roman" w:hAnsi="Times New Roman" w:cs="Times New Roman"/>
          <w:sz w:val="24"/>
          <w:szCs w:val="24"/>
        </w:rPr>
        <w:footnoteReference w:id="60"/>
      </w:r>
    </w:p>
    <w:p w:rsidR="00940178" w:rsidRPr="00D21E0A" w:rsidRDefault="00940178" w:rsidP="00211D1F">
      <w:pPr>
        <w:rPr>
          <w:rFonts w:ascii="Times New Roman" w:hAnsi="Times New Roman"/>
          <w:sz w:val="24"/>
          <w:szCs w:val="24"/>
        </w:rPr>
      </w:pPr>
    </w:p>
    <w:p w:rsidR="00940178" w:rsidRPr="004C738A" w:rsidRDefault="00940178" w:rsidP="00940178">
      <w:pPr>
        <w:rPr>
          <w:rFonts w:ascii="Times New Roman" w:hAnsi="Times New Roman"/>
          <w:sz w:val="24"/>
          <w:szCs w:val="24"/>
        </w:rPr>
      </w:pPr>
      <w:r w:rsidRPr="004C738A">
        <w:rPr>
          <w:rFonts w:ascii="Times New Roman" w:hAnsi="Times New Roman"/>
          <w:sz w:val="24"/>
          <w:szCs w:val="24"/>
        </w:rPr>
        <w:t>Der richterliche Dialog mit dem EuGH ist Aufgabe aller Gerichte, auch der Verfassungsg</w:t>
      </w:r>
      <w:r w:rsidRPr="004C738A">
        <w:rPr>
          <w:rFonts w:ascii="Times New Roman" w:hAnsi="Times New Roman"/>
          <w:sz w:val="24"/>
          <w:szCs w:val="24"/>
        </w:rPr>
        <w:t>e</w:t>
      </w:r>
      <w:r w:rsidRPr="004C738A">
        <w:rPr>
          <w:rFonts w:ascii="Times New Roman" w:hAnsi="Times New Roman"/>
          <w:sz w:val="24"/>
          <w:szCs w:val="24"/>
        </w:rPr>
        <w:t>richte.</w:t>
      </w:r>
      <w:r w:rsidRPr="004C738A">
        <w:rPr>
          <w:rStyle w:val="Funotenzeichen"/>
          <w:rFonts w:ascii="Times New Roman" w:hAnsi="Times New Roman" w:cs="Times New Roman"/>
          <w:sz w:val="24"/>
          <w:szCs w:val="24"/>
        </w:rPr>
        <w:footnoteReference w:id="61"/>
      </w:r>
      <w:r w:rsidRPr="004C738A">
        <w:rPr>
          <w:rFonts w:ascii="Times New Roman" w:hAnsi="Times New Roman"/>
          <w:sz w:val="24"/>
          <w:szCs w:val="24"/>
        </w:rPr>
        <w:t xml:space="preserve"> Die Nichtvorlage einer Rechtssache unter Verstoß gegen Art. 267 AEUV wird – dem Charakter der Unionsrechtsordnung als wechselseitiger Auffang- und Kooperationsordnung </w:t>
      </w:r>
      <w:r w:rsidRPr="004C738A">
        <w:rPr>
          <w:rFonts w:ascii="Times New Roman" w:hAnsi="Times New Roman"/>
          <w:sz w:val="24"/>
          <w:szCs w:val="24"/>
        </w:rPr>
        <w:lastRenderedPageBreak/>
        <w:t>entsprechend – sowohl unionsrechtlich als auch verfassungsrechtlich sanktioniert.</w:t>
      </w:r>
      <w:r w:rsidR="00CB26D1" w:rsidRPr="004C738A">
        <w:rPr>
          <w:rFonts w:ascii="Times New Roman" w:hAnsi="Times New Roman"/>
          <w:sz w:val="24"/>
          <w:szCs w:val="24"/>
        </w:rPr>
        <w:t xml:space="preserve"> So sichern etwa mehrere Verfassungsgerichte,</w:t>
      </w:r>
      <w:r w:rsidR="00CB26D1" w:rsidRPr="004C738A">
        <w:rPr>
          <w:rFonts w:ascii="Times New Roman" w:hAnsi="Times New Roman"/>
          <w:sz w:val="24"/>
          <w:szCs w:val="24"/>
          <w:vertAlign w:val="superscript"/>
        </w:rPr>
        <w:footnoteReference w:id="62"/>
      </w:r>
      <w:r w:rsidR="00CB26D1" w:rsidRPr="004C738A">
        <w:rPr>
          <w:rFonts w:ascii="Times New Roman" w:hAnsi="Times New Roman"/>
          <w:sz w:val="24"/>
          <w:szCs w:val="24"/>
        </w:rPr>
        <w:t xml:space="preserve"> dass die Fachgerichte das Unionsrecht ihrerseits beac</w:t>
      </w:r>
      <w:r w:rsidR="00CB26D1" w:rsidRPr="004C738A">
        <w:rPr>
          <w:rFonts w:ascii="Times New Roman" w:hAnsi="Times New Roman"/>
          <w:sz w:val="24"/>
          <w:szCs w:val="24"/>
        </w:rPr>
        <w:t>h</w:t>
      </w:r>
      <w:r w:rsidR="00CB26D1" w:rsidRPr="004C738A">
        <w:rPr>
          <w:rFonts w:ascii="Times New Roman" w:hAnsi="Times New Roman"/>
          <w:sz w:val="24"/>
          <w:szCs w:val="24"/>
        </w:rPr>
        <w:t>ten und Fragen zu Gültigkeit und Auslegung des Unionsrechts dem Gerichtshof vorlegen. In Deutschland gibt es insoweit eine sehr reichhaltige Rechtsprechung zu Art. 101 Abs</w:t>
      </w:r>
      <w:r w:rsidR="002C7B39" w:rsidRPr="004C738A">
        <w:rPr>
          <w:rFonts w:ascii="Times New Roman" w:hAnsi="Times New Roman"/>
          <w:sz w:val="24"/>
          <w:szCs w:val="24"/>
        </w:rPr>
        <w:t>.</w:t>
      </w:r>
      <w:r w:rsidR="002C7B39">
        <w:rPr>
          <w:rFonts w:ascii="Times New Roman" w:hAnsi="Times New Roman"/>
          <w:sz w:val="24"/>
          <w:szCs w:val="24"/>
        </w:rPr>
        <w:t> </w:t>
      </w:r>
      <w:r w:rsidR="00CB26D1" w:rsidRPr="004C738A">
        <w:rPr>
          <w:rFonts w:ascii="Times New Roman" w:hAnsi="Times New Roman"/>
          <w:sz w:val="24"/>
          <w:szCs w:val="24"/>
        </w:rPr>
        <w:t xml:space="preserve">1 </w:t>
      </w:r>
      <w:r w:rsidR="002C7B39" w:rsidRPr="004C738A">
        <w:rPr>
          <w:rFonts w:ascii="Times New Roman" w:hAnsi="Times New Roman"/>
          <w:sz w:val="24"/>
          <w:szCs w:val="24"/>
        </w:rPr>
        <w:t>Satz</w:t>
      </w:r>
      <w:r w:rsidR="002C7B39">
        <w:rPr>
          <w:rFonts w:ascii="Times New Roman" w:hAnsi="Times New Roman"/>
          <w:sz w:val="24"/>
          <w:szCs w:val="24"/>
        </w:rPr>
        <w:t> </w:t>
      </w:r>
      <w:r w:rsidR="00CB26D1" w:rsidRPr="004C738A">
        <w:rPr>
          <w:rFonts w:ascii="Times New Roman" w:hAnsi="Times New Roman"/>
          <w:sz w:val="24"/>
          <w:szCs w:val="24"/>
        </w:rPr>
        <w:t>2 GG,</w:t>
      </w:r>
      <w:r w:rsidR="00CB26D1" w:rsidRPr="004C738A">
        <w:rPr>
          <w:rFonts w:ascii="Times New Roman" w:hAnsi="Times New Roman"/>
          <w:sz w:val="24"/>
          <w:szCs w:val="24"/>
          <w:vertAlign w:val="superscript"/>
        </w:rPr>
        <w:footnoteReference w:id="63"/>
      </w:r>
      <w:r w:rsidR="00CB26D1" w:rsidRPr="004C738A">
        <w:rPr>
          <w:rFonts w:ascii="Times New Roman" w:hAnsi="Times New Roman"/>
          <w:sz w:val="24"/>
          <w:szCs w:val="24"/>
        </w:rPr>
        <w:t xml:space="preserve"> in Spanien zu Art. 24 CE.</w:t>
      </w:r>
      <w:r w:rsidR="00CB26D1" w:rsidRPr="004C738A" w:rsidDel="003F70FC">
        <w:rPr>
          <w:rFonts w:ascii="Times New Roman" w:hAnsi="Times New Roman"/>
          <w:sz w:val="24"/>
          <w:szCs w:val="24"/>
        </w:rPr>
        <w:t xml:space="preserve"> </w:t>
      </w:r>
    </w:p>
    <w:p w:rsidR="00940178" w:rsidRPr="004C738A" w:rsidRDefault="00940178" w:rsidP="005B6BE9">
      <w:pPr>
        <w:rPr>
          <w:rFonts w:ascii="Times New Roman" w:hAnsi="Times New Roman"/>
          <w:sz w:val="24"/>
          <w:szCs w:val="24"/>
        </w:rPr>
      </w:pPr>
    </w:p>
    <w:p w:rsidR="00A47CF3" w:rsidRPr="004C738A" w:rsidRDefault="003E6A45" w:rsidP="005B6BE9">
      <w:pPr>
        <w:rPr>
          <w:rFonts w:ascii="Times New Roman" w:hAnsi="Times New Roman"/>
          <w:sz w:val="24"/>
          <w:szCs w:val="24"/>
        </w:rPr>
      </w:pPr>
      <w:r w:rsidRPr="004C738A">
        <w:rPr>
          <w:rFonts w:ascii="Times New Roman" w:hAnsi="Times New Roman"/>
          <w:sz w:val="24"/>
          <w:szCs w:val="24"/>
        </w:rPr>
        <w:t>bb) Zur Durchsetzung des Unionsrechts gehört darüber hinaus die horizontale Kooperation nationaler (Verfassungs-)Gerichte mit Gerichten und Behörde</w:t>
      </w:r>
      <w:r w:rsidR="0098758B">
        <w:rPr>
          <w:rFonts w:ascii="Times New Roman" w:hAnsi="Times New Roman"/>
          <w:sz w:val="24"/>
          <w:szCs w:val="24"/>
        </w:rPr>
        <w:t xml:space="preserve">n anderer Mitgliedstaaten. Das </w:t>
      </w:r>
      <w:r w:rsidRPr="004C738A">
        <w:rPr>
          <w:rFonts w:ascii="Times New Roman" w:hAnsi="Times New Roman"/>
          <w:sz w:val="24"/>
          <w:szCs w:val="24"/>
        </w:rPr>
        <w:t xml:space="preserve">gilt </w:t>
      </w:r>
      <w:r w:rsidR="00A47CF3" w:rsidRPr="004C738A">
        <w:rPr>
          <w:rFonts w:ascii="Times New Roman" w:hAnsi="Times New Roman"/>
          <w:sz w:val="24"/>
          <w:szCs w:val="24"/>
        </w:rPr>
        <w:t>insbesondere im Bereich der Justiz- und Innenpolitik, etwa bei der Auslieferung zur Vol</w:t>
      </w:r>
      <w:r w:rsidR="00A47CF3" w:rsidRPr="004C738A">
        <w:rPr>
          <w:rFonts w:ascii="Times New Roman" w:hAnsi="Times New Roman"/>
          <w:sz w:val="24"/>
          <w:szCs w:val="24"/>
        </w:rPr>
        <w:t>l</w:t>
      </w:r>
      <w:r w:rsidR="00A47CF3" w:rsidRPr="004C738A">
        <w:rPr>
          <w:rFonts w:ascii="Times New Roman" w:hAnsi="Times New Roman"/>
          <w:sz w:val="24"/>
          <w:szCs w:val="24"/>
        </w:rPr>
        <w:t>streckung europäischer Haftbefehle (§§ 78 IRG)</w:t>
      </w:r>
      <w:r w:rsidR="00A47CF3" w:rsidRPr="004C738A">
        <w:rPr>
          <w:rFonts w:ascii="Times New Roman" w:hAnsi="Times New Roman"/>
          <w:sz w:val="24"/>
          <w:szCs w:val="24"/>
          <w:vertAlign w:val="superscript"/>
        </w:rPr>
        <w:footnoteReference w:id="64"/>
      </w:r>
      <w:r w:rsidR="00A47CF3" w:rsidRPr="004C738A">
        <w:rPr>
          <w:rFonts w:ascii="Times New Roman" w:hAnsi="Times New Roman"/>
          <w:sz w:val="24"/>
          <w:szCs w:val="24"/>
        </w:rPr>
        <w:t xml:space="preserve"> oder</w:t>
      </w:r>
      <w:r w:rsidRPr="004C738A">
        <w:rPr>
          <w:rFonts w:ascii="Times New Roman" w:hAnsi="Times New Roman"/>
          <w:sz w:val="24"/>
          <w:szCs w:val="24"/>
        </w:rPr>
        <w:t xml:space="preserve"> bei</w:t>
      </w:r>
      <w:r w:rsidR="00A47CF3" w:rsidRPr="004C738A">
        <w:rPr>
          <w:rFonts w:ascii="Times New Roman" w:hAnsi="Times New Roman"/>
          <w:sz w:val="24"/>
          <w:szCs w:val="24"/>
        </w:rPr>
        <w:t xml:space="preserve"> der Überstellung von Asylbewe</w:t>
      </w:r>
      <w:r w:rsidR="00A47CF3" w:rsidRPr="004C738A">
        <w:rPr>
          <w:rFonts w:ascii="Times New Roman" w:hAnsi="Times New Roman"/>
          <w:sz w:val="24"/>
          <w:szCs w:val="24"/>
        </w:rPr>
        <w:t>r</w:t>
      </w:r>
      <w:r w:rsidR="00A47CF3" w:rsidRPr="004C738A">
        <w:rPr>
          <w:rFonts w:ascii="Times New Roman" w:hAnsi="Times New Roman"/>
          <w:sz w:val="24"/>
          <w:szCs w:val="24"/>
        </w:rPr>
        <w:t>bern.</w:t>
      </w:r>
      <w:r w:rsidR="00A47CF3" w:rsidRPr="004C738A">
        <w:rPr>
          <w:rStyle w:val="Funotenzeichen"/>
          <w:rFonts w:ascii="Times New Roman" w:hAnsi="Times New Roman" w:cs="Times New Roman"/>
          <w:sz w:val="24"/>
          <w:szCs w:val="24"/>
        </w:rPr>
        <w:footnoteReference w:id="65"/>
      </w:r>
      <w:r w:rsidRPr="004C738A">
        <w:rPr>
          <w:rFonts w:ascii="Times New Roman" w:hAnsi="Times New Roman"/>
          <w:sz w:val="24"/>
          <w:szCs w:val="24"/>
        </w:rPr>
        <w:t xml:space="preserve"> Grundlage dieser Kooperation ist der auf den gemeinsamen Werten des Art</w:t>
      </w:r>
      <w:r w:rsidR="00E973DE" w:rsidRPr="004C738A">
        <w:rPr>
          <w:rFonts w:ascii="Times New Roman" w:hAnsi="Times New Roman"/>
          <w:sz w:val="24"/>
          <w:szCs w:val="24"/>
        </w:rPr>
        <w:t>.</w:t>
      </w:r>
      <w:r w:rsidR="00E973DE">
        <w:rPr>
          <w:rFonts w:ascii="Times New Roman" w:hAnsi="Times New Roman"/>
          <w:sz w:val="24"/>
          <w:szCs w:val="24"/>
        </w:rPr>
        <w:t> </w:t>
      </w:r>
      <w:r w:rsidRPr="004C738A">
        <w:rPr>
          <w:rFonts w:ascii="Times New Roman" w:hAnsi="Times New Roman"/>
          <w:sz w:val="24"/>
          <w:szCs w:val="24"/>
        </w:rPr>
        <w:t>2 EUV und der gemeinsamen Achtung des von der EMRK garantierten Mindeststandards fußende Grundsatz des gegenseitigen Vertrauens,</w:t>
      </w:r>
      <w:r w:rsidR="002A4EDA" w:rsidRPr="004C738A">
        <w:rPr>
          <w:rStyle w:val="Funotenzeichen"/>
          <w:rFonts w:ascii="Times New Roman" w:hAnsi="Times New Roman" w:cs="Times New Roman"/>
          <w:sz w:val="24"/>
          <w:szCs w:val="24"/>
        </w:rPr>
        <w:footnoteReference w:id="66"/>
      </w:r>
      <w:r w:rsidR="002A4EDA" w:rsidRPr="004C738A">
        <w:rPr>
          <w:rFonts w:ascii="Times New Roman" w:hAnsi="Times New Roman"/>
          <w:sz w:val="24"/>
          <w:szCs w:val="24"/>
        </w:rPr>
        <w:t xml:space="preserve"> der freilich auch enttäuscht werden kann.</w:t>
      </w:r>
      <w:r w:rsidR="002A4EDA" w:rsidRPr="004C738A">
        <w:rPr>
          <w:rStyle w:val="Funotenzeichen"/>
          <w:rFonts w:ascii="Times New Roman" w:hAnsi="Times New Roman" w:cs="Times New Roman"/>
          <w:sz w:val="24"/>
          <w:szCs w:val="24"/>
        </w:rPr>
        <w:footnoteReference w:id="67"/>
      </w:r>
    </w:p>
    <w:p w:rsidR="006D0400" w:rsidRPr="004C738A" w:rsidRDefault="006D0400" w:rsidP="006D0400">
      <w:pPr>
        <w:rPr>
          <w:rFonts w:ascii="Times New Roman" w:hAnsi="Times New Roman"/>
          <w:sz w:val="24"/>
          <w:szCs w:val="24"/>
        </w:rPr>
      </w:pPr>
    </w:p>
    <w:p w:rsidR="006D0400" w:rsidRPr="004C738A" w:rsidRDefault="006D0400" w:rsidP="001E6723">
      <w:pPr>
        <w:pStyle w:val="berschrift4"/>
        <w:jc w:val="center"/>
        <w:rPr>
          <w:rFonts w:ascii="Times New Roman" w:hAnsi="Times New Roman" w:cs="Times New Roman"/>
          <w:sz w:val="24"/>
          <w:szCs w:val="24"/>
        </w:rPr>
      </w:pPr>
      <w:bookmarkStart w:id="14" w:name="_Toc498362308"/>
      <w:r w:rsidRPr="004C738A">
        <w:rPr>
          <w:rFonts w:ascii="Times New Roman" w:hAnsi="Times New Roman" w:cs="Times New Roman"/>
          <w:sz w:val="24"/>
          <w:szCs w:val="24"/>
        </w:rPr>
        <w:t xml:space="preserve">b) </w:t>
      </w:r>
      <w:r w:rsidR="00C454BF" w:rsidRPr="004C738A">
        <w:rPr>
          <w:rFonts w:ascii="Times New Roman" w:hAnsi="Times New Roman" w:cs="Times New Roman"/>
          <w:sz w:val="24"/>
          <w:szCs w:val="24"/>
        </w:rPr>
        <w:t>Verfassungsrechtliche Vorbehalte und ihre Durchsetzung</w:t>
      </w:r>
      <w:r w:rsidR="00A05A75" w:rsidRPr="004C738A">
        <w:rPr>
          <w:rFonts w:ascii="Times New Roman" w:hAnsi="Times New Roman" w:cs="Times New Roman"/>
          <w:sz w:val="24"/>
          <w:szCs w:val="24"/>
        </w:rPr>
        <w:t xml:space="preserve"> in Deutschland</w:t>
      </w:r>
      <w:r w:rsidR="00C454BF" w:rsidRPr="004C738A">
        <w:rPr>
          <w:rFonts w:ascii="Times New Roman" w:hAnsi="Times New Roman" w:cs="Times New Roman"/>
          <w:sz w:val="24"/>
          <w:szCs w:val="24"/>
        </w:rPr>
        <w:t xml:space="preserve"> – Ultra vires und Identitätskontrolle</w:t>
      </w:r>
      <w:bookmarkEnd w:id="14"/>
    </w:p>
    <w:p w:rsidR="006D0400" w:rsidRPr="004C738A" w:rsidRDefault="00C454BF" w:rsidP="006D0400">
      <w:pPr>
        <w:rPr>
          <w:rFonts w:ascii="Times New Roman" w:hAnsi="Times New Roman"/>
          <w:sz w:val="24"/>
          <w:szCs w:val="24"/>
        </w:rPr>
      </w:pPr>
      <w:r w:rsidRPr="004C738A">
        <w:rPr>
          <w:rFonts w:ascii="Times New Roman" w:hAnsi="Times New Roman"/>
          <w:sz w:val="24"/>
          <w:szCs w:val="24"/>
        </w:rPr>
        <w:t xml:space="preserve">aa) </w:t>
      </w:r>
      <w:r w:rsidR="006D0400" w:rsidRPr="004C738A">
        <w:rPr>
          <w:rFonts w:ascii="Times New Roman" w:hAnsi="Times New Roman"/>
          <w:sz w:val="24"/>
          <w:szCs w:val="24"/>
        </w:rPr>
        <w:t xml:space="preserve">Maßnahmen von Organen, Einrichtungen und sonstigen Stellen der Europäischen Union sind </w:t>
      </w:r>
      <w:r w:rsidR="002A4EDA" w:rsidRPr="004C738A">
        <w:rPr>
          <w:rFonts w:ascii="Times New Roman" w:hAnsi="Times New Roman"/>
          <w:sz w:val="24"/>
          <w:szCs w:val="24"/>
        </w:rPr>
        <w:t xml:space="preserve">allerdings </w:t>
      </w:r>
      <w:r w:rsidR="006D0400" w:rsidRPr="004C738A">
        <w:rPr>
          <w:rFonts w:ascii="Times New Roman" w:hAnsi="Times New Roman"/>
          <w:sz w:val="24"/>
          <w:szCs w:val="24"/>
        </w:rPr>
        <w:t>nur insoweit demokratisch legitimiert, als sie sich auf eine Ermächtigung in den Verträgen, eine begrenzte Einzelermächtigung im Sinne von Art</w:t>
      </w:r>
      <w:r w:rsidR="00E973DE" w:rsidRPr="004C738A">
        <w:rPr>
          <w:rFonts w:ascii="Times New Roman" w:hAnsi="Times New Roman"/>
          <w:sz w:val="24"/>
          <w:szCs w:val="24"/>
        </w:rPr>
        <w:t>.</w:t>
      </w:r>
      <w:r w:rsidR="00E973DE">
        <w:rPr>
          <w:rFonts w:ascii="Times New Roman" w:hAnsi="Times New Roman"/>
          <w:sz w:val="24"/>
          <w:szCs w:val="24"/>
        </w:rPr>
        <w:t> </w:t>
      </w:r>
      <w:r w:rsidR="006D0400" w:rsidRPr="004C738A">
        <w:rPr>
          <w:rFonts w:ascii="Times New Roman" w:hAnsi="Times New Roman"/>
          <w:sz w:val="24"/>
          <w:szCs w:val="24"/>
        </w:rPr>
        <w:t>5 Abs</w:t>
      </w:r>
      <w:r w:rsidR="00E973DE" w:rsidRPr="004C738A">
        <w:rPr>
          <w:rFonts w:ascii="Times New Roman" w:hAnsi="Times New Roman"/>
          <w:sz w:val="24"/>
          <w:szCs w:val="24"/>
        </w:rPr>
        <w:t>.</w:t>
      </w:r>
      <w:r w:rsidR="00E973DE">
        <w:rPr>
          <w:rFonts w:ascii="Times New Roman" w:hAnsi="Times New Roman"/>
          <w:sz w:val="24"/>
          <w:szCs w:val="24"/>
        </w:rPr>
        <w:t> </w:t>
      </w:r>
      <w:r w:rsidR="006D0400" w:rsidRPr="004C738A">
        <w:rPr>
          <w:rFonts w:ascii="Times New Roman" w:hAnsi="Times New Roman"/>
          <w:sz w:val="24"/>
          <w:szCs w:val="24"/>
        </w:rPr>
        <w:t xml:space="preserve">1 EUV, stützen </w:t>
      </w:r>
      <w:r w:rsidR="002A4EDA" w:rsidRPr="004C738A">
        <w:rPr>
          <w:rFonts w:ascii="Times New Roman" w:hAnsi="Times New Roman"/>
          <w:sz w:val="24"/>
          <w:szCs w:val="24"/>
        </w:rPr>
        <w:t>können</w:t>
      </w:r>
      <w:r w:rsidR="006D0400" w:rsidRPr="004C738A">
        <w:rPr>
          <w:rFonts w:ascii="Times New Roman" w:hAnsi="Times New Roman"/>
          <w:sz w:val="24"/>
          <w:szCs w:val="24"/>
        </w:rPr>
        <w:t>. Die Ausübung öffentlicher Gewalt durch Organe, Stellen und sonstige Einrichtungen der Europäischen Union verletzt da</w:t>
      </w:r>
      <w:r w:rsidR="002A4EDA" w:rsidRPr="004C738A">
        <w:rPr>
          <w:rFonts w:ascii="Times New Roman" w:hAnsi="Times New Roman"/>
          <w:sz w:val="24"/>
          <w:szCs w:val="24"/>
        </w:rPr>
        <w:t xml:space="preserve">her </w:t>
      </w:r>
      <w:r w:rsidR="006D0400" w:rsidRPr="004C738A">
        <w:rPr>
          <w:rFonts w:ascii="Times New Roman" w:hAnsi="Times New Roman"/>
          <w:sz w:val="24"/>
          <w:szCs w:val="24"/>
        </w:rPr>
        <w:t xml:space="preserve">den Grundsatz der Volkssouveränität </w:t>
      </w:r>
      <w:r w:rsidR="002A4EDA" w:rsidRPr="004C738A">
        <w:rPr>
          <w:rFonts w:ascii="Times New Roman" w:hAnsi="Times New Roman"/>
          <w:sz w:val="24"/>
          <w:szCs w:val="24"/>
        </w:rPr>
        <w:t xml:space="preserve">aus </w:t>
      </w:r>
      <w:r w:rsidR="006D0400" w:rsidRPr="004C738A">
        <w:rPr>
          <w:rFonts w:ascii="Times New Roman" w:hAnsi="Times New Roman"/>
          <w:sz w:val="24"/>
          <w:szCs w:val="24"/>
        </w:rPr>
        <w:t xml:space="preserve">Art. 20 Abs. 2 </w:t>
      </w:r>
      <w:r w:rsidR="00E973DE" w:rsidRPr="004C738A">
        <w:rPr>
          <w:rFonts w:ascii="Times New Roman" w:hAnsi="Times New Roman"/>
          <w:sz w:val="24"/>
          <w:szCs w:val="24"/>
        </w:rPr>
        <w:t>Satz</w:t>
      </w:r>
      <w:r w:rsidR="00E973DE">
        <w:rPr>
          <w:rFonts w:ascii="Times New Roman" w:hAnsi="Times New Roman"/>
          <w:sz w:val="24"/>
          <w:szCs w:val="24"/>
        </w:rPr>
        <w:t> </w:t>
      </w:r>
      <w:r w:rsidR="006D0400" w:rsidRPr="004C738A">
        <w:rPr>
          <w:rFonts w:ascii="Times New Roman" w:hAnsi="Times New Roman"/>
          <w:sz w:val="24"/>
          <w:szCs w:val="24"/>
        </w:rPr>
        <w:t>1 GG, wenn sie nicht über eine hinreichende demokratische Legitimation durch das im Zustimmungsgesetz niedergelegte Integrationsprogramm verfügt.</w:t>
      </w:r>
      <w:r w:rsidR="006D0400" w:rsidRPr="004C738A">
        <w:rPr>
          <w:rStyle w:val="Funotenzeichen"/>
          <w:rFonts w:ascii="Times New Roman" w:hAnsi="Times New Roman" w:cs="Times New Roman"/>
          <w:sz w:val="24"/>
          <w:szCs w:val="24"/>
        </w:rPr>
        <w:footnoteReference w:id="68"/>
      </w:r>
      <w:r w:rsidR="006D0400" w:rsidRPr="004C738A">
        <w:rPr>
          <w:rFonts w:ascii="Times New Roman" w:hAnsi="Times New Roman"/>
          <w:sz w:val="24"/>
          <w:szCs w:val="24"/>
        </w:rPr>
        <w:t xml:space="preserve"> Es ist deshalb (auch) Aufgabe der nationalen </w:t>
      </w:r>
      <w:r w:rsidR="002A4EDA" w:rsidRPr="004C738A">
        <w:rPr>
          <w:rFonts w:ascii="Times New Roman" w:hAnsi="Times New Roman"/>
          <w:sz w:val="24"/>
          <w:szCs w:val="24"/>
        </w:rPr>
        <w:t>(</w:t>
      </w:r>
      <w:r w:rsidR="006D0400" w:rsidRPr="004C738A">
        <w:rPr>
          <w:rFonts w:ascii="Times New Roman" w:hAnsi="Times New Roman"/>
          <w:sz w:val="24"/>
          <w:szCs w:val="24"/>
        </w:rPr>
        <w:t>Verfassungs</w:t>
      </w:r>
      <w:r w:rsidR="002A4EDA" w:rsidRPr="004C738A">
        <w:rPr>
          <w:rFonts w:ascii="Times New Roman" w:hAnsi="Times New Roman"/>
          <w:sz w:val="24"/>
          <w:szCs w:val="24"/>
        </w:rPr>
        <w:t>-)G</w:t>
      </w:r>
      <w:r w:rsidR="006D0400" w:rsidRPr="004C738A">
        <w:rPr>
          <w:rFonts w:ascii="Times New Roman" w:hAnsi="Times New Roman"/>
          <w:sz w:val="24"/>
          <w:szCs w:val="24"/>
        </w:rPr>
        <w:t>erichte, die Einhaltung des Integrationspr</w:t>
      </w:r>
      <w:r w:rsidR="006D0400" w:rsidRPr="004C738A">
        <w:rPr>
          <w:rFonts w:ascii="Times New Roman" w:hAnsi="Times New Roman"/>
          <w:sz w:val="24"/>
          <w:szCs w:val="24"/>
        </w:rPr>
        <w:t>o</w:t>
      </w:r>
      <w:r w:rsidR="006D0400" w:rsidRPr="004C738A">
        <w:rPr>
          <w:rFonts w:ascii="Times New Roman" w:hAnsi="Times New Roman"/>
          <w:sz w:val="24"/>
          <w:szCs w:val="24"/>
        </w:rPr>
        <w:lastRenderedPageBreak/>
        <w:t>gramms sicherzustellen und für die Gewährleistung des Demokratieprinzips auch beim Vol</w:t>
      </w:r>
      <w:r w:rsidR="006D0400" w:rsidRPr="004C738A">
        <w:rPr>
          <w:rFonts w:ascii="Times New Roman" w:hAnsi="Times New Roman"/>
          <w:sz w:val="24"/>
          <w:szCs w:val="24"/>
        </w:rPr>
        <w:t>l</w:t>
      </w:r>
      <w:r w:rsidR="006D0400" w:rsidRPr="004C738A">
        <w:rPr>
          <w:rFonts w:ascii="Times New Roman" w:hAnsi="Times New Roman"/>
          <w:sz w:val="24"/>
          <w:szCs w:val="24"/>
        </w:rPr>
        <w:t>zug von Unionsrecht zu sorgen.</w:t>
      </w:r>
      <w:r w:rsidR="006D0400" w:rsidRPr="004C738A">
        <w:rPr>
          <w:rFonts w:ascii="Times New Roman" w:hAnsi="Times New Roman"/>
          <w:sz w:val="24"/>
          <w:szCs w:val="24"/>
          <w:vertAlign w:val="superscript"/>
        </w:rPr>
        <w:footnoteReference w:id="69"/>
      </w:r>
      <w:r w:rsidR="006D0400" w:rsidRPr="004C738A">
        <w:rPr>
          <w:rFonts w:ascii="Times New Roman" w:hAnsi="Times New Roman"/>
          <w:sz w:val="24"/>
          <w:szCs w:val="24"/>
        </w:rPr>
        <w:t xml:space="preserve"> </w:t>
      </w:r>
    </w:p>
    <w:p w:rsidR="00C7235B" w:rsidRPr="004C738A" w:rsidRDefault="00C7235B" w:rsidP="006D0400">
      <w:pPr>
        <w:rPr>
          <w:rFonts w:ascii="Times New Roman" w:hAnsi="Times New Roman"/>
          <w:sz w:val="24"/>
          <w:szCs w:val="24"/>
        </w:rPr>
      </w:pPr>
    </w:p>
    <w:p w:rsidR="006D0400" w:rsidRPr="004C738A" w:rsidRDefault="00C454BF" w:rsidP="00C65D9E">
      <w:pPr>
        <w:rPr>
          <w:rFonts w:ascii="Times New Roman" w:hAnsi="Times New Roman"/>
          <w:sz w:val="24"/>
          <w:szCs w:val="24"/>
        </w:rPr>
      </w:pPr>
      <w:r w:rsidRPr="004C738A">
        <w:rPr>
          <w:rFonts w:ascii="Times New Roman" w:hAnsi="Times New Roman"/>
          <w:sz w:val="24"/>
          <w:szCs w:val="24"/>
        </w:rPr>
        <w:t>bb)</w:t>
      </w:r>
      <w:r w:rsidRPr="004C738A">
        <w:rPr>
          <w:rFonts w:ascii="Times New Roman" w:hAnsi="Times New Roman"/>
          <w:i/>
          <w:sz w:val="24"/>
          <w:szCs w:val="24"/>
        </w:rPr>
        <w:t xml:space="preserve"> </w:t>
      </w:r>
      <w:r w:rsidR="006D0400" w:rsidRPr="004C738A">
        <w:rPr>
          <w:rFonts w:ascii="Times New Roman" w:hAnsi="Times New Roman"/>
          <w:sz w:val="24"/>
          <w:szCs w:val="24"/>
        </w:rPr>
        <w:t xml:space="preserve">Eine dritte Aufgabe haben die nationalen </w:t>
      </w:r>
      <w:r w:rsidR="00A72567" w:rsidRPr="004C738A">
        <w:rPr>
          <w:rFonts w:ascii="Times New Roman" w:hAnsi="Times New Roman"/>
          <w:sz w:val="24"/>
          <w:szCs w:val="24"/>
        </w:rPr>
        <w:t>(</w:t>
      </w:r>
      <w:r w:rsidR="006D0400" w:rsidRPr="004C738A">
        <w:rPr>
          <w:rFonts w:ascii="Times New Roman" w:hAnsi="Times New Roman"/>
          <w:sz w:val="24"/>
          <w:szCs w:val="24"/>
        </w:rPr>
        <w:t>Verfassungs</w:t>
      </w:r>
      <w:r w:rsidR="00A72567" w:rsidRPr="004C738A">
        <w:rPr>
          <w:rFonts w:ascii="Times New Roman" w:hAnsi="Times New Roman"/>
          <w:sz w:val="24"/>
          <w:szCs w:val="24"/>
        </w:rPr>
        <w:t>-)G</w:t>
      </w:r>
      <w:r w:rsidR="006D0400" w:rsidRPr="004C738A">
        <w:rPr>
          <w:rFonts w:ascii="Times New Roman" w:hAnsi="Times New Roman"/>
          <w:sz w:val="24"/>
          <w:szCs w:val="24"/>
        </w:rPr>
        <w:t>erichte mit Blick auf die jewe</w:t>
      </w:r>
      <w:r w:rsidR="006D0400" w:rsidRPr="004C738A">
        <w:rPr>
          <w:rFonts w:ascii="Times New Roman" w:hAnsi="Times New Roman"/>
          <w:sz w:val="24"/>
          <w:szCs w:val="24"/>
        </w:rPr>
        <w:t>i</w:t>
      </w:r>
      <w:r w:rsidR="006D0400" w:rsidRPr="004C738A">
        <w:rPr>
          <w:rFonts w:ascii="Times New Roman" w:hAnsi="Times New Roman"/>
          <w:sz w:val="24"/>
          <w:szCs w:val="24"/>
        </w:rPr>
        <w:t xml:space="preserve">lige Verfassungsidentität. Schon in der </w:t>
      </w:r>
      <w:r w:rsidR="00D21E0A" w:rsidRPr="004C738A">
        <w:rPr>
          <w:rFonts w:ascii="Times New Roman" w:hAnsi="Times New Roman"/>
          <w:sz w:val="24"/>
          <w:szCs w:val="24"/>
        </w:rPr>
        <w:t>Solange</w:t>
      </w:r>
      <w:r w:rsidR="00D21E0A">
        <w:rPr>
          <w:rFonts w:ascii="Times New Roman" w:hAnsi="Times New Roman"/>
          <w:sz w:val="24"/>
          <w:szCs w:val="24"/>
        </w:rPr>
        <w:t> </w:t>
      </w:r>
      <w:r w:rsidR="006D0400" w:rsidRPr="004C738A">
        <w:rPr>
          <w:rFonts w:ascii="Times New Roman" w:hAnsi="Times New Roman"/>
          <w:sz w:val="24"/>
          <w:szCs w:val="24"/>
        </w:rPr>
        <w:t>I</w:t>
      </w:r>
      <w:r w:rsidR="00D21E0A">
        <w:rPr>
          <w:rFonts w:ascii="Times New Roman" w:hAnsi="Times New Roman"/>
          <w:sz w:val="24"/>
          <w:szCs w:val="24"/>
        </w:rPr>
        <w:t>-</w:t>
      </w:r>
      <w:r w:rsidR="006D0400" w:rsidRPr="004C738A">
        <w:rPr>
          <w:rFonts w:ascii="Times New Roman" w:hAnsi="Times New Roman"/>
          <w:sz w:val="24"/>
          <w:szCs w:val="24"/>
        </w:rPr>
        <w:t>Entscheidung von 1974, in der es darum ging, ob man Vollzugsakte der Europäischen</w:t>
      </w:r>
      <w:r w:rsidR="00A72567" w:rsidRPr="004C738A">
        <w:rPr>
          <w:rFonts w:ascii="Times New Roman" w:hAnsi="Times New Roman"/>
          <w:sz w:val="24"/>
          <w:szCs w:val="24"/>
        </w:rPr>
        <w:t xml:space="preserve"> Wirtschaftsgemeinschaft </w:t>
      </w:r>
      <w:r w:rsidR="006D0400" w:rsidRPr="004C738A">
        <w:rPr>
          <w:rFonts w:ascii="Times New Roman" w:hAnsi="Times New Roman"/>
          <w:sz w:val="24"/>
          <w:szCs w:val="24"/>
        </w:rPr>
        <w:t>an den Grundrechten des Grundgesetzes messen kann, heißt es, dass Art. 24 Abs</w:t>
      </w:r>
      <w:r w:rsidR="00D21E0A" w:rsidRPr="004C738A">
        <w:rPr>
          <w:rFonts w:ascii="Times New Roman" w:hAnsi="Times New Roman"/>
          <w:sz w:val="24"/>
          <w:szCs w:val="24"/>
        </w:rPr>
        <w:t>.</w:t>
      </w:r>
      <w:r w:rsidR="00D21E0A">
        <w:rPr>
          <w:rFonts w:ascii="Times New Roman" w:hAnsi="Times New Roman"/>
          <w:sz w:val="24"/>
          <w:szCs w:val="24"/>
        </w:rPr>
        <w:t> </w:t>
      </w:r>
      <w:r w:rsidR="006D0400" w:rsidRPr="004C738A">
        <w:rPr>
          <w:rFonts w:ascii="Times New Roman" w:hAnsi="Times New Roman"/>
          <w:sz w:val="24"/>
          <w:szCs w:val="24"/>
        </w:rPr>
        <w:t xml:space="preserve">1 GG, die damals maßgebliche Grundlage für die Integration Deutschlands, nicht dazu ermächtige, </w:t>
      </w:r>
      <w:r w:rsidR="006D0400" w:rsidRPr="004C738A">
        <w:rPr>
          <w:rFonts w:ascii="Times New Roman" w:hAnsi="Times New Roman"/>
          <w:iCs/>
          <w:sz w:val="24"/>
          <w:szCs w:val="24"/>
        </w:rPr>
        <w:t>„die Grundstruktur der Verfassung, auf der ihre Identität beruht, ohne Verfassungsänderung … zu ändern“ und dass eine Änderung des Vertrages, „die die Identität der geltenden Verfassung der Bundesrepublik Deutschland durch Einbruch in die sie konstituierenden Strukturen aufheben würde“, an Art. 24 GG scheitere.</w:t>
      </w:r>
      <w:r w:rsidR="006D0400" w:rsidRPr="004C738A">
        <w:rPr>
          <w:rFonts w:ascii="Times New Roman" w:hAnsi="Times New Roman"/>
          <w:iCs/>
          <w:sz w:val="24"/>
          <w:szCs w:val="24"/>
          <w:vertAlign w:val="superscript"/>
        </w:rPr>
        <w:footnoteReference w:id="70"/>
      </w:r>
      <w:r w:rsidR="006D0400" w:rsidRPr="004C738A">
        <w:rPr>
          <w:rFonts w:ascii="Times New Roman" w:hAnsi="Times New Roman"/>
          <w:iCs/>
          <w:sz w:val="24"/>
          <w:szCs w:val="24"/>
        </w:rPr>
        <w:t xml:space="preserve"> Zwölf Jahre später hört sich dies i</w:t>
      </w:r>
      <w:r w:rsidR="006D0400" w:rsidRPr="004C738A">
        <w:rPr>
          <w:rFonts w:ascii="Times New Roman" w:hAnsi="Times New Roman"/>
          <w:sz w:val="24"/>
          <w:szCs w:val="24"/>
        </w:rPr>
        <w:t xml:space="preserve">m </w:t>
      </w:r>
      <w:r w:rsidR="00D21E0A" w:rsidRPr="004C738A">
        <w:rPr>
          <w:rFonts w:ascii="Times New Roman" w:hAnsi="Times New Roman"/>
          <w:sz w:val="24"/>
          <w:szCs w:val="24"/>
        </w:rPr>
        <w:t>Solange</w:t>
      </w:r>
      <w:r w:rsidR="00D21E0A">
        <w:rPr>
          <w:rFonts w:ascii="Times New Roman" w:hAnsi="Times New Roman"/>
          <w:sz w:val="24"/>
          <w:szCs w:val="24"/>
        </w:rPr>
        <w:t> </w:t>
      </w:r>
      <w:r w:rsidR="006D0400" w:rsidRPr="004C738A">
        <w:rPr>
          <w:rFonts w:ascii="Times New Roman" w:hAnsi="Times New Roman"/>
          <w:sz w:val="24"/>
          <w:szCs w:val="24"/>
        </w:rPr>
        <w:t>II</w:t>
      </w:r>
      <w:r w:rsidR="00D21E0A">
        <w:rPr>
          <w:rFonts w:ascii="Times New Roman" w:hAnsi="Times New Roman"/>
          <w:sz w:val="24"/>
          <w:szCs w:val="24"/>
        </w:rPr>
        <w:t>-</w:t>
      </w:r>
      <w:r w:rsidR="006D0400" w:rsidRPr="004C738A">
        <w:rPr>
          <w:rFonts w:ascii="Times New Roman" w:hAnsi="Times New Roman"/>
          <w:sz w:val="24"/>
          <w:szCs w:val="24"/>
        </w:rPr>
        <w:t xml:space="preserve">Beschluss vom 22. Oktober 1986 noch kategorischer an, wenn es dort – nun ohne einschränkende Hinweise auf mögliche Verfassungsänderungen – pauschal heißt, dass Art. 24 GG nicht dazu ermächtige, </w:t>
      </w:r>
    </w:p>
    <w:p w:rsidR="00A72567" w:rsidRPr="004C738A" w:rsidRDefault="006D0400" w:rsidP="00D21E0A">
      <w:pPr>
        <w:pStyle w:val="Zitat"/>
      </w:pPr>
      <w:r w:rsidRPr="004C738A">
        <w:t>„im Wege der Einräumung von Hoheitsrechten für zwischenstaatliche Einrichtungen die Identität der geltenden Verfassungsordnung durch Einbruch in ihr Grundgefüge, in die sie konstituierenden Strukturen, aufzugeben“.</w:t>
      </w:r>
      <w:r w:rsidRPr="004C738A">
        <w:rPr>
          <w:vertAlign w:val="superscript"/>
        </w:rPr>
        <w:footnoteReference w:id="71"/>
      </w:r>
      <w:r w:rsidRPr="004C738A">
        <w:t xml:space="preserve"> </w:t>
      </w:r>
    </w:p>
    <w:p w:rsidR="00A72567" w:rsidRPr="004C738A" w:rsidRDefault="00A72567" w:rsidP="006D0400">
      <w:pPr>
        <w:rPr>
          <w:rFonts w:ascii="Times New Roman" w:hAnsi="Times New Roman"/>
          <w:iCs/>
          <w:sz w:val="24"/>
          <w:szCs w:val="24"/>
        </w:rPr>
      </w:pPr>
    </w:p>
    <w:p w:rsidR="006D0400" w:rsidRPr="004C738A" w:rsidRDefault="006D0400" w:rsidP="00A72567">
      <w:pPr>
        <w:rPr>
          <w:rFonts w:ascii="Times New Roman" w:hAnsi="Times New Roman"/>
          <w:sz w:val="24"/>
          <w:szCs w:val="24"/>
        </w:rPr>
      </w:pPr>
      <w:r w:rsidRPr="004C738A">
        <w:rPr>
          <w:rFonts w:ascii="Times New Roman" w:hAnsi="Times New Roman"/>
          <w:sz w:val="24"/>
          <w:szCs w:val="24"/>
        </w:rPr>
        <w:t>D</w:t>
      </w:r>
      <w:r w:rsidR="00A05A75" w:rsidRPr="004C738A">
        <w:rPr>
          <w:rFonts w:ascii="Times New Roman" w:hAnsi="Times New Roman"/>
          <w:sz w:val="24"/>
          <w:szCs w:val="24"/>
        </w:rPr>
        <w:t>iesen Ansatz hat d</w:t>
      </w:r>
      <w:r w:rsidRPr="004C738A">
        <w:rPr>
          <w:rFonts w:ascii="Times New Roman" w:hAnsi="Times New Roman"/>
          <w:sz w:val="24"/>
          <w:szCs w:val="24"/>
        </w:rPr>
        <w:t>er verfassungsändernde Gesetzgeber in Art. 23 Abs</w:t>
      </w:r>
      <w:r w:rsidR="00D21E0A" w:rsidRPr="004C738A">
        <w:rPr>
          <w:rFonts w:ascii="Times New Roman" w:hAnsi="Times New Roman"/>
          <w:sz w:val="24"/>
          <w:szCs w:val="24"/>
        </w:rPr>
        <w:t>.</w:t>
      </w:r>
      <w:r w:rsidR="00D21E0A">
        <w:rPr>
          <w:rFonts w:ascii="Times New Roman" w:hAnsi="Times New Roman"/>
          <w:sz w:val="24"/>
          <w:szCs w:val="24"/>
        </w:rPr>
        <w:t> </w:t>
      </w:r>
      <w:r w:rsidRPr="004C738A">
        <w:rPr>
          <w:rFonts w:ascii="Times New Roman" w:hAnsi="Times New Roman"/>
          <w:sz w:val="24"/>
          <w:szCs w:val="24"/>
        </w:rPr>
        <w:t xml:space="preserve">1 </w:t>
      </w:r>
      <w:r w:rsidR="00D21E0A" w:rsidRPr="004C738A">
        <w:rPr>
          <w:rFonts w:ascii="Times New Roman" w:hAnsi="Times New Roman"/>
          <w:sz w:val="24"/>
          <w:szCs w:val="24"/>
        </w:rPr>
        <w:t>Satz</w:t>
      </w:r>
      <w:r w:rsidR="00D21E0A">
        <w:rPr>
          <w:rFonts w:ascii="Times New Roman" w:hAnsi="Times New Roman"/>
          <w:sz w:val="24"/>
          <w:szCs w:val="24"/>
        </w:rPr>
        <w:t> </w:t>
      </w:r>
      <w:r w:rsidRPr="004C738A">
        <w:rPr>
          <w:rFonts w:ascii="Times New Roman" w:hAnsi="Times New Roman"/>
          <w:sz w:val="24"/>
          <w:szCs w:val="24"/>
        </w:rPr>
        <w:t xml:space="preserve">3 GG </w:t>
      </w:r>
      <w:r w:rsidR="00A05A75" w:rsidRPr="004C738A">
        <w:rPr>
          <w:rFonts w:ascii="Times New Roman" w:hAnsi="Times New Roman"/>
          <w:sz w:val="24"/>
          <w:szCs w:val="24"/>
        </w:rPr>
        <w:t>später ausdrücklich</w:t>
      </w:r>
      <w:r w:rsidR="00C7235B" w:rsidRPr="004C738A">
        <w:rPr>
          <w:rFonts w:ascii="Times New Roman" w:hAnsi="Times New Roman"/>
          <w:sz w:val="24"/>
          <w:szCs w:val="24"/>
        </w:rPr>
        <w:t xml:space="preserve"> bekräftigt und</w:t>
      </w:r>
      <w:r w:rsidR="00A05A75" w:rsidRPr="004C738A">
        <w:rPr>
          <w:rFonts w:ascii="Times New Roman" w:hAnsi="Times New Roman"/>
          <w:sz w:val="24"/>
          <w:szCs w:val="24"/>
        </w:rPr>
        <w:t xml:space="preserve"> klargestellt</w:t>
      </w:r>
      <w:r w:rsidRPr="004C738A">
        <w:rPr>
          <w:rFonts w:ascii="Times New Roman" w:hAnsi="Times New Roman"/>
          <w:sz w:val="24"/>
          <w:szCs w:val="24"/>
        </w:rPr>
        <w:t>.</w:t>
      </w:r>
      <w:r w:rsidR="00A72567" w:rsidRPr="004C738A">
        <w:rPr>
          <w:rFonts w:ascii="Times New Roman" w:hAnsi="Times New Roman"/>
          <w:sz w:val="24"/>
          <w:szCs w:val="24"/>
        </w:rPr>
        <w:t xml:space="preserve"> </w:t>
      </w:r>
      <w:r w:rsidRPr="004C738A">
        <w:rPr>
          <w:rFonts w:ascii="Times New Roman" w:hAnsi="Times New Roman"/>
          <w:sz w:val="24"/>
          <w:szCs w:val="24"/>
        </w:rPr>
        <w:t>Das Bundesverfassungsgericht hat dies im Maa</w:t>
      </w:r>
      <w:r w:rsidRPr="004C738A">
        <w:rPr>
          <w:rFonts w:ascii="Times New Roman" w:hAnsi="Times New Roman"/>
          <w:sz w:val="24"/>
          <w:szCs w:val="24"/>
        </w:rPr>
        <w:t>s</w:t>
      </w:r>
      <w:r w:rsidRPr="004C738A">
        <w:rPr>
          <w:rFonts w:ascii="Times New Roman" w:hAnsi="Times New Roman"/>
          <w:sz w:val="24"/>
          <w:szCs w:val="24"/>
        </w:rPr>
        <w:t>tricht-</w:t>
      </w:r>
      <w:r w:rsidRPr="004C738A">
        <w:rPr>
          <w:rFonts w:ascii="Times New Roman" w:hAnsi="Times New Roman"/>
          <w:sz w:val="24"/>
          <w:szCs w:val="24"/>
          <w:vertAlign w:val="superscript"/>
        </w:rPr>
        <w:footnoteReference w:id="72"/>
      </w:r>
      <w:r w:rsidRPr="004C738A">
        <w:rPr>
          <w:rFonts w:ascii="Times New Roman" w:hAnsi="Times New Roman"/>
          <w:sz w:val="24"/>
          <w:szCs w:val="24"/>
        </w:rPr>
        <w:t xml:space="preserve"> und im Lissabon-Urteil</w:t>
      </w:r>
      <w:r w:rsidRPr="004C738A">
        <w:rPr>
          <w:rFonts w:ascii="Times New Roman" w:hAnsi="Times New Roman"/>
          <w:sz w:val="24"/>
          <w:szCs w:val="24"/>
          <w:vertAlign w:val="superscript"/>
        </w:rPr>
        <w:footnoteReference w:id="73"/>
      </w:r>
      <w:r w:rsidRPr="004C738A">
        <w:rPr>
          <w:rFonts w:ascii="Times New Roman" w:hAnsi="Times New Roman"/>
          <w:sz w:val="24"/>
          <w:szCs w:val="24"/>
        </w:rPr>
        <w:t xml:space="preserve"> </w:t>
      </w:r>
      <w:r w:rsidR="00A72567" w:rsidRPr="004C738A">
        <w:rPr>
          <w:rFonts w:ascii="Times New Roman" w:hAnsi="Times New Roman"/>
          <w:sz w:val="24"/>
          <w:szCs w:val="24"/>
        </w:rPr>
        <w:t xml:space="preserve">sowie in mehreren Entscheidungen im Zuge der </w:t>
      </w:r>
      <w:r w:rsidRPr="004C738A">
        <w:rPr>
          <w:rFonts w:ascii="Times New Roman" w:hAnsi="Times New Roman"/>
          <w:sz w:val="24"/>
          <w:szCs w:val="24"/>
        </w:rPr>
        <w:t>seit 2010 andauernde</w:t>
      </w:r>
      <w:r w:rsidR="00A72567" w:rsidRPr="004C738A">
        <w:rPr>
          <w:rFonts w:ascii="Times New Roman" w:hAnsi="Times New Roman"/>
          <w:sz w:val="24"/>
          <w:szCs w:val="24"/>
        </w:rPr>
        <w:t>n</w:t>
      </w:r>
      <w:r w:rsidRPr="004C738A">
        <w:rPr>
          <w:rFonts w:ascii="Times New Roman" w:hAnsi="Times New Roman"/>
          <w:sz w:val="24"/>
          <w:szCs w:val="24"/>
        </w:rPr>
        <w:t xml:space="preserve"> </w:t>
      </w:r>
      <w:r w:rsidR="00A72567" w:rsidRPr="004C738A">
        <w:rPr>
          <w:rFonts w:ascii="Times New Roman" w:hAnsi="Times New Roman"/>
          <w:sz w:val="24"/>
          <w:szCs w:val="24"/>
        </w:rPr>
        <w:t xml:space="preserve">Staatsschulden- und </w:t>
      </w:r>
      <w:r w:rsidRPr="004C738A">
        <w:rPr>
          <w:rFonts w:ascii="Times New Roman" w:hAnsi="Times New Roman"/>
          <w:sz w:val="24"/>
          <w:szCs w:val="24"/>
        </w:rPr>
        <w:t>Eurokrise</w:t>
      </w:r>
      <w:r w:rsidRPr="004C738A">
        <w:rPr>
          <w:rFonts w:ascii="Times New Roman" w:hAnsi="Times New Roman"/>
          <w:sz w:val="24"/>
          <w:szCs w:val="24"/>
          <w:vertAlign w:val="superscript"/>
        </w:rPr>
        <w:footnoteReference w:id="74"/>
      </w:r>
      <w:r w:rsidR="00A72567" w:rsidRPr="004C738A">
        <w:rPr>
          <w:rFonts w:ascii="Times New Roman" w:hAnsi="Times New Roman"/>
          <w:sz w:val="24"/>
          <w:szCs w:val="24"/>
        </w:rPr>
        <w:t xml:space="preserve"> genauer zu konturieren versucht.</w:t>
      </w:r>
      <w:r w:rsidRPr="004C738A">
        <w:rPr>
          <w:rFonts w:ascii="Times New Roman" w:hAnsi="Times New Roman"/>
          <w:sz w:val="24"/>
          <w:szCs w:val="24"/>
        </w:rPr>
        <w:t xml:space="preserve"> Auch die En</w:t>
      </w:r>
      <w:r w:rsidRPr="004C738A">
        <w:rPr>
          <w:rFonts w:ascii="Times New Roman" w:hAnsi="Times New Roman"/>
          <w:sz w:val="24"/>
          <w:szCs w:val="24"/>
        </w:rPr>
        <w:t>t</w:t>
      </w:r>
      <w:r w:rsidRPr="004C738A">
        <w:rPr>
          <w:rFonts w:ascii="Times New Roman" w:hAnsi="Times New Roman"/>
          <w:sz w:val="24"/>
          <w:szCs w:val="24"/>
        </w:rPr>
        <w:t>scheidung zum Europäischen Haftbefehl vom 15. Dezember 2015 gehört in diesen Zusa</w:t>
      </w:r>
      <w:r w:rsidRPr="004C738A">
        <w:rPr>
          <w:rFonts w:ascii="Times New Roman" w:hAnsi="Times New Roman"/>
          <w:sz w:val="24"/>
          <w:szCs w:val="24"/>
        </w:rPr>
        <w:t>m</w:t>
      </w:r>
      <w:r w:rsidRPr="004C738A">
        <w:rPr>
          <w:rFonts w:ascii="Times New Roman" w:hAnsi="Times New Roman"/>
          <w:sz w:val="24"/>
          <w:szCs w:val="24"/>
        </w:rPr>
        <w:t>menhang.</w:t>
      </w:r>
      <w:r w:rsidRPr="004C738A">
        <w:rPr>
          <w:rStyle w:val="Funotenzeichen"/>
          <w:rFonts w:ascii="Times New Roman" w:hAnsi="Times New Roman" w:cs="Times New Roman"/>
          <w:sz w:val="24"/>
          <w:szCs w:val="24"/>
        </w:rPr>
        <w:footnoteReference w:id="75"/>
      </w:r>
      <w:r w:rsidR="008247F1" w:rsidRPr="004C738A">
        <w:rPr>
          <w:rFonts w:ascii="Times New Roman" w:hAnsi="Times New Roman"/>
          <w:sz w:val="24"/>
          <w:szCs w:val="24"/>
        </w:rPr>
        <w:t xml:space="preserve"> Die bislang jüngste Zusammenfassung dieses Kontrollvorbehalts findet sich im OMT-Urteil vom 21. Juni 2016:</w:t>
      </w:r>
    </w:p>
    <w:p w:rsidR="008247F1" w:rsidRPr="004C738A" w:rsidRDefault="008247F1" w:rsidP="008247F1">
      <w:pPr>
        <w:rPr>
          <w:rFonts w:ascii="Times New Roman" w:hAnsi="Times New Roman"/>
          <w:sz w:val="24"/>
          <w:szCs w:val="24"/>
        </w:rPr>
      </w:pPr>
    </w:p>
    <w:p w:rsidR="008247F1" w:rsidRPr="004C738A" w:rsidRDefault="008247F1" w:rsidP="00D21E0A">
      <w:pPr>
        <w:pStyle w:val="Zitat"/>
      </w:pPr>
      <w:r w:rsidRPr="004C738A">
        <w:t>„Die in Art. 1 und Art. 20 in Verbindung mit Art. 79 Abs. 3 GG garantierten Grund</w:t>
      </w:r>
      <w:r w:rsidRPr="004C738A">
        <w:t>s</w:t>
      </w:r>
      <w:r w:rsidRPr="004C738A">
        <w:t xml:space="preserve">ätze sind auch bei der Anwendung des Unionsrechts in Deutschland zu gewährleisten. Darauf zielt die Identitätskontrolle durch das Bundesverfassungsgericht </w:t>
      </w:r>
      <w:r w:rsidR="00D65133">
        <w:t>(</w:t>
      </w:r>
      <w:r w:rsidRPr="004C738A">
        <w:t>...</w:t>
      </w:r>
      <w:r w:rsidR="00D65133">
        <w:t xml:space="preserve">). </w:t>
      </w:r>
      <w:r w:rsidRPr="004C738A">
        <w:t>Diese Kontrolle ist mit dem Grundsatz der loyalen Zusammenarbeit</w:t>
      </w:r>
      <w:r w:rsidR="00D65133">
        <w:t xml:space="preserve"> (Art. 4 Abs. 3 EUV) vereinbar (...).</w:t>
      </w:r>
    </w:p>
    <w:p w:rsidR="008247F1" w:rsidRPr="004C738A" w:rsidRDefault="008247F1" w:rsidP="00966EC5">
      <w:pPr>
        <w:pStyle w:val="Zitat"/>
      </w:pPr>
    </w:p>
    <w:p w:rsidR="008247F1" w:rsidRPr="004C738A" w:rsidRDefault="008247F1" w:rsidP="00966EC5">
      <w:pPr>
        <w:pStyle w:val="Zitat"/>
      </w:pPr>
      <w:r w:rsidRPr="004C738A">
        <w:lastRenderedPageBreak/>
        <w:t xml:space="preserve">    Soweit Maßnahmen von Organen, Einrichtungen oder sonstigen Stellen der Europ</w:t>
      </w:r>
      <w:r w:rsidRPr="004C738A">
        <w:t>ä</w:t>
      </w:r>
      <w:r w:rsidRPr="004C738A">
        <w:t>ischen Union Auswirkungen zeitigen, die die in den Art</w:t>
      </w:r>
      <w:r w:rsidR="00966EC5" w:rsidRPr="004C738A">
        <w:t>.</w:t>
      </w:r>
      <w:r w:rsidR="00966EC5">
        <w:t> </w:t>
      </w:r>
      <w:r w:rsidRPr="004C738A">
        <w:t>1 und Art. 20 GG niederg</w:t>
      </w:r>
      <w:r w:rsidRPr="004C738A">
        <w:t>e</w:t>
      </w:r>
      <w:r w:rsidRPr="004C738A">
        <w:t>legte Verfassungsidentität berühren, gehen sie über die grundgesetzlichen Grenzen o</w:t>
      </w:r>
      <w:r w:rsidRPr="004C738A">
        <w:t>f</w:t>
      </w:r>
      <w:r w:rsidRPr="004C738A">
        <w:t>fener Staatlichkeit hinaus. Auf einer primärrechtlichen Ermächtigung kann eine dera</w:t>
      </w:r>
      <w:r w:rsidRPr="004C738A">
        <w:t>r</w:t>
      </w:r>
      <w:r w:rsidRPr="004C738A">
        <w:t>tige Maßnahme nicht beruhen, weil auch der mit der Mehrheit des Art. 23 Abs</w:t>
      </w:r>
      <w:r w:rsidR="00966EC5" w:rsidRPr="004C738A">
        <w:t>.</w:t>
      </w:r>
      <w:r w:rsidR="00966EC5">
        <w:t> </w:t>
      </w:r>
      <w:r w:rsidRPr="004C738A">
        <w:t xml:space="preserve">1 </w:t>
      </w:r>
      <w:r w:rsidR="00966EC5" w:rsidRPr="004C738A">
        <w:t>Satz</w:t>
      </w:r>
      <w:r w:rsidR="00966EC5">
        <w:t> </w:t>
      </w:r>
      <w:r w:rsidRPr="004C738A">
        <w:t>3 in Verbindung mit Art. 79 Abs</w:t>
      </w:r>
      <w:r w:rsidR="00966EC5" w:rsidRPr="004C738A">
        <w:t>.</w:t>
      </w:r>
      <w:r w:rsidR="00966EC5">
        <w:t> </w:t>
      </w:r>
      <w:r w:rsidRPr="004C738A">
        <w:t>2 GG entscheidende Integrationsgesetzgeber der Europäischen Union keine Hoheitsrechte übertragen kann, mit deren Inanspruc</w:t>
      </w:r>
      <w:r w:rsidRPr="004C738A">
        <w:t>h</w:t>
      </w:r>
      <w:r w:rsidRPr="004C738A">
        <w:t>nahme eine Berührung der von Art. 79 Abs</w:t>
      </w:r>
      <w:r w:rsidR="00966EC5" w:rsidRPr="004C738A">
        <w:t>.</w:t>
      </w:r>
      <w:r w:rsidR="00966EC5">
        <w:t> </w:t>
      </w:r>
      <w:r w:rsidRPr="004C738A">
        <w:t>3 GG geschützten Verfassungsidentität einherginge (…).</w:t>
      </w:r>
    </w:p>
    <w:p w:rsidR="008247F1" w:rsidRPr="004C738A" w:rsidRDefault="008247F1" w:rsidP="006A6D36">
      <w:pPr>
        <w:pStyle w:val="Zitat"/>
      </w:pPr>
    </w:p>
    <w:p w:rsidR="008247F1" w:rsidRPr="004C738A" w:rsidRDefault="008247F1">
      <w:pPr>
        <w:pStyle w:val="Zitat"/>
      </w:pPr>
      <w:r w:rsidRPr="004C738A">
        <w:t>Im Rahmen der Identitätskontrolle prüft das Bundesverfassungsgericht, ob die durch Art. 79 Abs</w:t>
      </w:r>
      <w:r w:rsidR="00966EC5" w:rsidRPr="004C738A">
        <w:t>.</w:t>
      </w:r>
      <w:r w:rsidR="00966EC5">
        <w:t> </w:t>
      </w:r>
      <w:r w:rsidRPr="004C738A">
        <w:t>3 GG für unantastbar erklärten Grundsätze bei der Übertragung von H</w:t>
      </w:r>
      <w:r w:rsidRPr="004C738A">
        <w:t>o</w:t>
      </w:r>
      <w:r w:rsidRPr="004C738A">
        <w:t>heitsrechten durch den deutschen Gesetzgeber oder durch eine Maßnahme von Org</w:t>
      </w:r>
      <w:r w:rsidRPr="004C738A">
        <w:t>a</w:t>
      </w:r>
      <w:r w:rsidRPr="004C738A">
        <w:t xml:space="preserve">nen, Einrichtungen und sonstigen Stellen der Europäischen Union berührt werden </w:t>
      </w:r>
      <w:r w:rsidR="00966EC5">
        <w:t>[</w:t>
      </w:r>
      <w:r w:rsidRPr="004C738A">
        <w:t>…</w:t>
      </w:r>
      <w:r w:rsidR="00966EC5">
        <w:t>]</w:t>
      </w:r>
      <w:r w:rsidRPr="004C738A">
        <w:t>. Das betrifft die Wahrung des Menschenwürdekerns der Grundrechte (Art</w:t>
      </w:r>
      <w:r w:rsidR="00966EC5" w:rsidRPr="004C738A">
        <w:t>.</w:t>
      </w:r>
      <w:r w:rsidR="00966EC5">
        <w:t> </w:t>
      </w:r>
      <w:r w:rsidRPr="004C738A">
        <w:t xml:space="preserve">1 GG </w:t>
      </w:r>
      <w:r w:rsidR="00966EC5">
        <w:t>[</w:t>
      </w:r>
      <w:r w:rsidRPr="004C738A">
        <w:t>…</w:t>
      </w:r>
      <w:r w:rsidR="00966EC5">
        <w:t>]</w:t>
      </w:r>
      <w:r w:rsidRPr="004C738A">
        <w:t>) ebenso wie die Grundsätze, die das Demokratie-, Rechts-, Sozial- und Bunde</w:t>
      </w:r>
      <w:r w:rsidRPr="004C738A">
        <w:t>s</w:t>
      </w:r>
      <w:r w:rsidRPr="004C738A">
        <w:t>staatsprinzip im Sinne des Art. 20 GG prägen.</w:t>
      </w:r>
      <w:r w:rsidR="00D65133">
        <w:t xml:space="preserve"> </w:t>
      </w:r>
      <w:r w:rsidR="00966EC5">
        <w:t>[</w:t>
      </w:r>
      <w:r w:rsidRPr="004C738A">
        <w:t>…</w:t>
      </w:r>
      <w:r w:rsidR="00966EC5">
        <w:t>]</w:t>
      </w:r>
      <w:r w:rsidRPr="004C738A">
        <w:t>.</w:t>
      </w:r>
    </w:p>
    <w:p w:rsidR="008247F1" w:rsidRPr="004C738A" w:rsidRDefault="008247F1">
      <w:pPr>
        <w:pStyle w:val="Zitat"/>
      </w:pPr>
    </w:p>
    <w:p w:rsidR="008247F1" w:rsidRPr="004C738A" w:rsidRDefault="008247F1">
      <w:pPr>
        <w:pStyle w:val="Zitat"/>
      </w:pPr>
      <w:r w:rsidRPr="004C738A">
        <w:t>Die Identitätskontrolle verhindert nicht nur, dass der Europäischen Union Hoheitsrec</w:t>
      </w:r>
      <w:r w:rsidRPr="004C738A">
        <w:t>h</w:t>
      </w:r>
      <w:r w:rsidRPr="004C738A">
        <w:t xml:space="preserve">te jenseits des für eine Übertragung offen stehenden Bereichs eingeräumt werden, sondern auch, dass Maßnahmen von Organen, Einrichtungen und sonstigen Stellen der Europäischen Union umgesetzt werden, die eine entsprechende Wirkung entfalten und jedenfalls faktisch einer mit dem Grundgesetz unvereinbaren Kompetenzübertragung gleichkämen </w:t>
      </w:r>
      <w:r w:rsidR="00966EC5">
        <w:t>[</w:t>
      </w:r>
      <w:r w:rsidRPr="004C738A">
        <w:t>…</w:t>
      </w:r>
      <w:r w:rsidR="00966EC5">
        <w:t>]</w:t>
      </w:r>
      <w:r w:rsidRPr="004C738A">
        <w:t>.</w:t>
      </w:r>
    </w:p>
    <w:p w:rsidR="008247F1" w:rsidRPr="004C738A" w:rsidRDefault="008247F1">
      <w:pPr>
        <w:pStyle w:val="Zitat"/>
      </w:pPr>
    </w:p>
    <w:p w:rsidR="008247F1" w:rsidRPr="004C738A" w:rsidRDefault="00966EC5">
      <w:pPr>
        <w:pStyle w:val="Zitat"/>
      </w:pPr>
      <w:r>
        <w:t>[</w:t>
      </w:r>
      <w:r w:rsidR="008247F1" w:rsidRPr="004C738A">
        <w:t>…</w:t>
      </w:r>
      <w:r>
        <w:t>]</w:t>
      </w:r>
      <w:r w:rsidR="008247F1" w:rsidRPr="004C738A">
        <w:t xml:space="preserve"> Die Identitätskontrolle verstößt, wie der Senat in seinem Beschluss vom 15. D</w:t>
      </w:r>
      <w:r w:rsidR="008247F1" w:rsidRPr="004C738A">
        <w:t>e</w:t>
      </w:r>
      <w:r w:rsidR="008247F1" w:rsidRPr="004C738A">
        <w:t xml:space="preserve">zember 2015 im Einzelnen dargelegt hat </w:t>
      </w:r>
      <w:r>
        <w:t>[</w:t>
      </w:r>
      <w:r w:rsidR="005538C2" w:rsidRPr="004C738A">
        <w:t>…</w:t>
      </w:r>
      <w:r>
        <w:t>]</w:t>
      </w:r>
      <w:r w:rsidR="008247F1" w:rsidRPr="004C738A">
        <w:t>, nicht gegen den Grundsatz der loyalen Zusammenarbeit im Sinne von Art</w:t>
      </w:r>
      <w:r w:rsidRPr="004C738A">
        <w:t>.</w:t>
      </w:r>
      <w:r>
        <w:t> </w:t>
      </w:r>
      <w:r w:rsidR="008247F1" w:rsidRPr="004C738A">
        <w:t>4 Abs</w:t>
      </w:r>
      <w:r w:rsidRPr="004C738A">
        <w:t>.</w:t>
      </w:r>
      <w:r>
        <w:t> </w:t>
      </w:r>
      <w:r w:rsidR="008247F1" w:rsidRPr="004C738A">
        <w:t>3 EUV. Sie ist vielmehr in Art</w:t>
      </w:r>
      <w:r w:rsidRPr="004C738A">
        <w:t>.</w:t>
      </w:r>
      <w:r>
        <w:t> </w:t>
      </w:r>
      <w:r w:rsidR="008247F1" w:rsidRPr="004C738A">
        <w:t>4 Abs</w:t>
      </w:r>
      <w:r w:rsidRPr="004C738A">
        <w:t>.</w:t>
      </w:r>
      <w:r>
        <w:t> </w:t>
      </w:r>
      <w:r w:rsidR="008247F1" w:rsidRPr="004C738A">
        <w:t xml:space="preserve">2 </w:t>
      </w:r>
      <w:r w:rsidRPr="004C738A">
        <w:t>Satz</w:t>
      </w:r>
      <w:r>
        <w:t> </w:t>
      </w:r>
      <w:r w:rsidR="008247F1" w:rsidRPr="004C738A">
        <w:t>1 EUV der Sache nach angelegt (</w:t>
      </w:r>
      <w:r w:rsidR="005538C2" w:rsidRPr="004C738A">
        <w:t>…</w:t>
      </w:r>
      <w:r w:rsidR="008247F1" w:rsidRPr="004C738A">
        <w:t>) und entspricht insoweit auch den instituti</w:t>
      </w:r>
      <w:r w:rsidR="008247F1" w:rsidRPr="004C738A">
        <w:t>o</w:t>
      </w:r>
      <w:r w:rsidR="008247F1" w:rsidRPr="004C738A">
        <w:t>nellen Gegebenheiten der Europäischen Union. Die Europäische Union ist ein Staaten-, Verfassungs-, Verwaltungs- und Rechtsprechungsverbund, der seine Grundlagen in völkerrechtlichen Verträgen der Mitgliedstaaten findet. Als Herren der Verträge en</w:t>
      </w:r>
      <w:r w:rsidR="008247F1" w:rsidRPr="004C738A">
        <w:t>t</w:t>
      </w:r>
      <w:r w:rsidR="008247F1" w:rsidRPr="004C738A">
        <w:t xml:space="preserve">scheiden diese durch nationale Geltungsanordnungen darüber, ob und inwieweit das Unionsrecht im jeweiligen Mitgliedstaat Geltung und Vorrang beanspruchen kann </w:t>
      </w:r>
      <w:r>
        <w:t>[</w:t>
      </w:r>
      <w:r w:rsidR="005538C2" w:rsidRPr="004C738A">
        <w:t>…</w:t>
      </w:r>
      <w:r>
        <w:t>]</w:t>
      </w:r>
      <w:r w:rsidR="008247F1" w:rsidRPr="004C738A">
        <w:t xml:space="preserve">. </w:t>
      </w:r>
    </w:p>
    <w:p w:rsidR="008247F1" w:rsidRPr="004C738A" w:rsidRDefault="008247F1">
      <w:pPr>
        <w:pStyle w:val="Zitat"/>
      </w:pPr>
    </w:p>
    <w:p w:rsidR="008247F1" w:rsidRPr="004C738A" w:rsidRDefault="008247F1">
      <w:pPr>
        <w:pStyle w:val="Zitat"/>
      </w:pPr>
      <w:r w:rsidRPr="004C738A">
        <w:t>Es bedeutet daher keinen Widerspruch zur Europarechtsfreundlichkeit des Grundg</w:t>
      </w:r>
      <w:r w:rsidRPr="004C738A">
        <w:t>e</w:t>
      </w:r>
      <w:r w:rsidRPr="004C738A">
        <w:t>setzes (Präambel, Art. 23 Abs</w:t>
      </w:r>
      <w:r w:rsidR="00966EC5" w:rsidRPr="004C738A">
        <w:t>.</w:t>
      </w:r>
      <w:r w:rsidR="00966EC5">
        <w:t> </w:t>
      </w:r>
      <w:r w:rsidRPr="004C738A">
        <w:t xml:space="preserve">1 </w:t>
      </w:r>
      <w:r w:rsidR="00966EC5" w:rsidRPr="004C738A">
        <w:t>Satz</w:t>
      </w:r>
      <w:r w:rsidR="00966EC5">
        <w:t> </w:t>
      </w:r>
      <w:r w:rsidRPr="004C738A">
        <w:t>1 GG), wenn das Bundesverfassungsgericht u</w:t>
      </w:r>
      <w:r w:rsidRPr="004C738A">
        <w:t>n</w:t>
      </w:r>
      <w:r w:rsidRPr="004C738A">
        <w:t xml:space="preserve">ter eng begrenzten Voraussetzungen die Maßnahme eines Organs oder einer Stelle der Europäischen Union für in Deutschland ausnahmsweise nicht anwendbar erklärt </w:t>
      </w:r>
      <w:r w:rsidR="00966EC5">
        <w:t>[</w:t>
      </w:r>
      <w:r w:rsidR="005538C2" w:rsidRPr="004C738A">
        <w:t>…</w:t>
      </w:r>
      <w:r w:rsidR="00966EC5">
        <w:t>]</w:t>
      </w:r>
      <w:r w:rsidRPr="004C738A">
        <w:t>.</w:t>
      </w:r>
      <w:r w:rsidRPr="004C738A">
        <w:rPr>
          <w:rStyle w:val="Funotenzeichen"/>
          <w:rFonts w:ascii="Times New Roman" w:hAnsi="Times New Roman" w:cs="Times New Roman"/>
          <w:sz w:val="24"/>
        </w:rPr>
        <w:footnoteReference w:id="76"/>
      </w:r>
    </w:p>
    <w:p w:rsidR="008247F1" w:rsidRPr="004C738A" w:rsidRDefault="008247F1" w:rsidP="008247F1">
      <w:pPr>
        <w:rPr>
          <w:rFonts w:ascii="Times New Roman" w:hAnsi="Times New Roman"/>
          <w:sz w:val="24"/>
          <w:szCs w:val="24"/>
        </w:rPr>
      </w:pPr>
    </w:p>
    <w:p w:rsidR="00C454BF" w:rsidRPr="004C738A" w:rsidRDefault="00C454BF" w:rsidP="00B45195">
      <w:pPr>
        <w:pStyle w:val="berschrift4"/>
        <w:jc w:val="center"/>
        <w:rPr>
          <w:rFonts w:ascii="Times New Roman" w:hAnsi="Times New Roman" w:cs="Times New Roman"/>
          <w:sz w:val="24"/>
          <w:szCs w:val="24"/>
        </w:rPr>
      </w:pPr>
      <w:bookmarkStart w:id="15" w:name="_Toc498362309"/>
      <w:r w:rsidRPr="004C738A">
        <w:rPr>
          <w:rFonts w:ascii="Times New Roman" w:hAnsi="Times New Roman" w:cs="Times New Roman"/>
          <w:sz w:val="24"/>
          <w:szCs w:val="24"/>
        </w:rPr>
        <w:t xml:space="preserve">c) Verfassungsrechtliche </w:t>
      </w:r>
      <w:r w:rsidR="00C7235B" w:rsidRPr="004C738A">
        <w:rPr>
          <w:rFonts w:ascii="Times New Roman" w:hAnsi="Times New Roman" w:cs="Times New Roman"/>
          <w:sz w:val="24"/>
          <w:szCs w:val="24"/>
        </w:rPr>
        <w:t xml:space="preserve">Kontrollvorbehalte </w:t>
      </w:r>
      <w:r w:rsidRPr="004C738A">
        <w:rPr>
          <w:rFonts w:ascii="Times New Roman" w:hAnsi="Times New Roman" w:cs="Times New Roman"/>
          <w:sz w:val="24"/>
          <w:szCs w:val="24"/>
        </w:rPr>
        <w:t>in anderen Mitgliedstaaten</w:t>
      </w:r>
      <w:bookmarkEnd w:id="15"/>
    </w:p>
    <w:p w:rsidR="00C7235B" w:rsidRPr="004C738A" w:rsidRDefault="00C7235B" w:rsidP="00C7235B">
      <w:pPr>
        <w:rPr>
          <w:rFonts w:ascii="Times New Roman" w:hAnsi="Times New Roman"/>
          <w:b/>
          <w:sz w:val="24"/>
          <w:szCs w:val="24"/>
        </w:rPr>
      </w:pPr>
      <w:r w:rsidRPr="004C738A">
        <w:rPr>
          <w:rFonts w:ascii="Times New Roman" w:hAnsi="Times New Roman"/>
          <w:sz w:val="24"/>
          <w:szCs w:val="24"/>
        </w:rPr>
        <w:t>Die weitaus überwiegende Zahl der Verfassungs- und Höchstgerichte der anderen Mitglie</w:t>
      </w:r>
      <w:r w:rsidRPr="004C738A">
        <w:rPr>
          <w:rFonts w:ascii="Times New Roman" w:hAnsi="Times New Roman"/>
          <w:sz w:val="24"/>
          <w:szCs w:val="24"/>
        </w:rPr>
        <w:t>d</w:t>
      </w:r>
      <w:r w:rsidRPr="004C738A">
        <w:rPr>
          <w:rFonts w:ascii="Times New Roman" w:hAnsi="Times New Roman"/>
          <w:sz w:val="24"/>
          <w:szCs w:val="24"/>
        </w:rPr>
        <w:t xml:space="preserve">staaten teilt </w:t>
      </w:r>
      <w:r w:rsidR="00D65133">
        <w:rPr>
          <w:rFonts w:ascii="Times New Roman" w:hAnsi="Times New Roman"/>
          <w:sz w:val="24"/>
          <w:szCs w:val="24"/>
        </w:rPr>
        <w:t xml:space="preserve">– </w:t>
      </w:r>
      <w:r w:rsidRPr="004C738A">
        <w:rPr>
          <w:rFonts w:ascii="Times New Roman" w:hAnsi="Times New Roman"/>
          <w:sz w:val="24"/>
          <w:szCs w:val="24"/>
        </w:rPr>
        <w:t xml:space="preserve">für ihren jeweiligen Zuständigkeitsbereich – mehr oder weniger die Auffassung des Bundesverfassungsgerichts, dass dem (Anwendungs-)Vorrang des Unionsrechts durch das </w:t>
      </w:r>
      <w:r w:rsidRPr="004C738A">
        <w:rPr>
          <w:rFonts w:ascii="Times New Roman" w:hAnsi="Times New Roman"/>
          <w:sz w:val="24"/>
          <w:szCs w:val="24"/>
        </w:rPr>
        <w:lastRenderedPageBreak/>
        <w:t>nationale (Verfassungs-)Recht Grenzen gezogen werden. I</w:t>
      </w:r>
      <w:r w:rsidR="008247F1" w:rsidRPr="004C738A">
        <w:rPr>
          <w:rFonts w:ascii="Times New Roman" w:hAnsi="Times New Roman"/>
          <w:sz w:val="24"/>
          <w:szCs w:val="24"/>
        </w:rPr>
        <w:t xml:space="preserve">m Verfassungsrecht </w:t>
      </w:r>
      <w:r w:rsidRPr="004C738A">
        <w:rPr>
          <w:rFonts w:ascii="Times New Roman" w:hAnsi="Times New Roman"/>
          <w:sz w:val="24"/>
          <w:szCs w:val="24"/>
        </w:rPr>
        <w:t xml:space="preserve">fast aller </w:t>
      </w:r>
      <w:r w:rsidR="008247F1" w:rsidRPr="004C738A">
        <w:rPr>
          <w:rFonts w:ascii="Times New Roman" w:hAnsi="Times New Roman"/>
          <w:sz w:val="24"/>
          <w:szCs w:val="24"/>
        </w:rPr>
        <w:t>Mi</w:t>
      </w:r>
      <w:r w:rsidR="008247F1" w:rsidRPr="004C738A">
        <w:rPr>
          <w:rFonts w:ascii="Times New Roman" w:hAnsi="Times New Roman"/>
          <w:sz w:val="24"/>
          <w:szCs w:val="24"/>
        </w:rPr>
        <w:t>t</w:t>
      </w:r>
      <w:r w:rsidR="008247F1" w:rsidRPr="004C738A">
        <w:rPr>
          <w:rFonts w:ascii="Times New Roman" w:hAnsi="Times New Roman"/>
          <w:sz w:val="24"/>
          <w:szCs w:val="24"/>
        </w:rPr>
        <w:t xml:space="preserve">gliedstaaten der Europäischen Union finden sich </w:t>
      </w:r>
      <w:r w:rsidRPr="004C738A">
        <w:rPr>
          <w:rFonts w:ascii="Times New Roman" w:hAnsi="Times New Roman"/>
          <w:sz w:val="24"/>
          <w:szCs w:val="24"/>
        </w:rPr>
        <w:t xml:space="preserve">denn auch </w:t>
      </w:r>
      <w:r w:rsidR="008247F1" w:rsidRPr="004C738A">
        <w:rPr>
          <w:rFonts w:ascii="Times New Roman" w:hAnsi="Times New Roman"/>
          <w:sz w:val="24"/>
          <w:szCs w:val="24"/>
        </w:rPr>
        <w:t xml:space="preserve">Vorkehrungen zum Schutz der Verfassungsidentität und der </w:t>
      </w:r>
      <w:r w:rsidR="00330F88" w:rsidRPr="004C738A">
        <w:rPr>
          <w:rFonts w:ascii="Times New Roman" w:hAnsi="Times New Roman"/>
          <w:sz w:val="24"/>
          <w:szCs w:val="24"/>
        </w:rPr>
        <w:t xml:space="preserve">bei einer </w:t>
      </w:r>
      <w:r w:rsidR="008247F1" w:rsidRPr="004C738A">
        <w:rPr>
          <w:rFonts w:ascii="Times New Roman" w:hAnsi="Times New Roman"/>
          <w:sz w:val="24"/>
          <w:szCs w:val="24"/>
        </w:rPr>
        <w:t>Übertragung von Souveränitätsrechten auf die Europä</w:t>
      </w:r>
      <w:r w:rsidR="008247F1" w:rsidRPr="004C738A">
        <w:rPr>
          <w:rFonts w:ascii="Times New Roman" w:hAnsi="Times New Roman"/>
          <w:sz w:val="24"/>
          <w:szCs w:val="24"/>
        </w:rPr>
        <w:t>i</w:t>
      </w:r>
      <w:r w:rsidR="008247F1" w:rsidRPr="004C738A">
        <w:rPr>
          <w:rFonts w:ascii="Times New Roman" w:hAnsi="Times New Roman"/>
          <w:sz w:val="24"/>
          <w:szCs w:val="24"/>
        </w:rPr>
        <w:t>sche Union</w:t>
      </w:r>
      <w:r w:rsidR="00330F88" w:rsidRPr="004C738A">
        <w:rPr>
          <w:rFonts w:ascii="Times New Roman" w:hAnsi="Times New Roman"/>
          <w:sz w:val="24"/>
          <w:szCs w:val="24"/>
        </w:rPr>
        <w:t xml:space="preserve"> zu beachtenden Grenzen</w:t>
      </w:r>
      <w:r w:rsidR="008247F1" w:rsidRPr="004C738A">
        <w:rPr>
          <w:rFonts w:ascii="Times New Roman" w:hAnsi="Times New Roman"/>
          <w:sz w:val="24"/>
          <w:szCs w:val="24"/>
        </w:rPr>
        <w:t>.</w:t>
      </w:r>
      <w:r w:rsidR="005538C2" w:rsidRPr="004C738A">
        <w:rPr>
          <w:rStyle w:val="Funotenzeichen"/>
          <w:rFonts w:ascii="Times New Roman" w:hAnsi="Times New Roman" w:cs="Times New Roman"/>
          <w:sz w:val="24"/>
          <w:szCs w:val="24"/>
        </w:rPr>
        <w:footnoteReference w:id="77"/>
      </w:r>
      <w:r w:rsidR="008247F1" w:rsidRPr="004C738A">
        <w:rPr>
          <w:rFonts w:ascii="Times New Roman" w:hAnsi="Times New Roman"/>
          <w:sz w:val="24"/>
          <w:szCs w:val="24"/>
        </w:rPr>
        <w:t xml:space="preserve"> </w:t>
      </w:r>
      <w:r w:rsidRPr="004C738A">
        <w:rPr>
          <w:rFonts w:ascii="Times New Roman" w:hAnsi="Times New Roman"/>
          <w:sz w:val="24"/>
          <w:szCs w:val="24"/>
        </w:rPr>
        <w:t>Auch für die Inanspruchnahme einer Ultra-vires-Kontrolle gibt es zunehmend Beispiele.</w:t>
      </w:r>
      <w:r w:rsidRPr="004C738A">
        <w:rPr>
          <w:rFonts w:ascii="Times New Roman" w:hAnsi="Times New Roman"/>
          <w:sz w:val="24"/>
          <w:szCs w:val="24"/>
          <w:vertAlign w:val="superscript"/>
        </w:rPr>
        <w:footnoteReference w:id="78"/>
      </w:r>
    </w:p>
    <w:p w:rsidR="008247F1" w:rsidRPr="004C738A" w:rsidRDefault="008247F1" w:rsidP="00A72567">
      <w:pPr>
        <w:rPr>
          <w:rFonts w:ascii="Times New Roman" w:hAnsi="Times New Roman"/>
          <w:sz w:val="24"/>
          <w:szCs w:val="24"/>
        </w:rPr>
      </w:pPr>
    </w:p>
    <w:p w:rsidR="006D0400" w:rsidRPr="004C738A" w:rsidRDefault="00C454BF" w:rsidP="00211D1F">
      <w:pPr>
        <w:pStyle w:val="berschrift4"/>
        <w:rPr>
          <w:rFonts w:ascii="Times New Roman" w:hAnsi="Times New Roman" w:cs="Times New Roman"/>
          <w:sz w:val="24"/>
          <w:szCs w:val="24"/>
        </w:rPr>
      </w:pPr>
      <w:bookmarkStart w:id="16" w:name="_Toc498362310"/>
      <w:r w:rsidRPr="004C738A">
        <w:rPr>
          <w:rFonts w:ascii="Times New Roman" w:hAnsi="Times New Roman" w:cs="Times New Roman"/>
          <w:sz w:val="24"/>
          <w:szCs w:val="24"/>
        </w:rPr>
        <w:t>d) Funktionsbedingungen des Rechtsprechungs- und Verfassungsgerichtverbundes</w:t>
      </w:r>
      <w:bookmarkEnd w:id="16"/>
    </w:p>
    <w:p w:rsidR="00211D1F" w:rsidRPr="004C738A" w:rsidRDefault="009D6549" w:rsidP="00211D1F">
      <w:pPr>
        <w:rPr>
          <w:rFonts w:ascii="Times New Roman" w:hAnsi="Times New Roman"/>
          <w:sz w:val="24"/>
          <w:szCs w:val="24"/>
        </w:rPr>
      </w:pPr>
      <w:r w:rsidRPr="004C738A">
        <w:rPr>
          <w:rFonts w:ascii="Times New Roman" w:hAnsi="Times New Roman"/>
          <w:sz w:val="24"/>
          <w:szCs w:val="24"/>
        </w:rPr>
        <w:t xml:space="preserve">Vor diesem Hintergrund ist die loyale Kooperation der </w:t>
      </w:r>
      <w:r w:rsidR="00211D1F" w:rsidRPr="004C738A">
        <w:rPr>
          <w:rFonts w:ascii="Times New Roman" w:hAnsi="Times New Roman"/>
          <w:sz w:val="24"/>
          <w:szCs w:val="24"/>
        </w:rPr>
        <w:t>G</w:t>
      </w:r>
      <w:r w:rsidRPr="004C738A">
        <w:rPr>
          <w:rFonts w:ascii="Times New Roman" w:hAnsi="Times New Roman"/>
          <w:sz w:val="24"/>
          <w:szCs w:val="24"/>
        </w:rPr>
        <w:t xml:space="preserve">erichte im europäischen </w:t>
      </w:r>
      <w:r w:rsidR="00211D1F" w:rsidRPr="004C738A">
        <w:rPr>
          <w:rFonts w:ascii="Times New Roman" w:hAnsi="Times New Roman"/>
          <w:sz w:val="24"/>
          <w:szCs w:val="24"/>
        </w:rPr>
        <w:t>Rechtspr</w:t>
      </w:r>
      <w:r w:rsidR="00211D1F" w:rsidRPr="004C738A">
        <w:rPr>
          <w:rFonts w:ascii="Times New Roman" w:hAnsi="Times New Roman"/>
          <w:sz w:val="24"/>
          <w:szCs w:val="24"/>
        </w:rPr>
        <w:t>e</w:t>
      </w:r>
      <w:r w:rsidR="00211D1F" w:rsidRPr="004C738A">
        <w:rPr>
          <w:rFonts w:ascii="Times New Roman" w:hAnsi="Times New Roman"/>
          <w:sz w:val="24"/>
          <w:szCs w:val="24"/>
        </w:rPr>
        <w:t xml:space="preserve">chungs- und </w:t>
      </w:r>
      <w:r w:rsidRPr="004C738A">
        <w:rPr>
          <w:rFonts w:ascii="Times New Roman" w:hAnsi="Times New Roman"/>
          <w:sz w:val="24"/>
          <w:szCs w:val="24"/>
        </w:rPr>
        <w:t xml:space="preserve">Verfassungsgerichtsverbund heute wichtiger denn je. </w:t>
      </w:r>
      <w:r w:rsidR="00211D1F" w:rsidRPr="004C738A">
        <w:rPr>
          <w:rFonts w:ascii="Times New Roman" w:hAnsi="Times New Roman"/>
          <w:sz w:val="24"/>
          <w:szCs w:val="24"/>
        </w:rPr>
        <w:t xml:space="preserve">Für die Beteiligten folgt daraus das Gebot einer konstruktiven Zusammenarbeit. </w:t>
      </w:r>
    </w:p>
    <w:p w:rsidR="00211D1F" w:rsidRPr="004C738A" w:rsidRDefault="00211D1F" w:rsidP="00211D1F">
      <w:pPr>
        <w:rPr>
          <w:rFonts w:ascii="Times New Roman" w:hAnsi="Times New Roman"/>
          <w:sz w:val="24"/>
          <w:szCs w:val="24"/>
        </w:rPr>
      </w:pPr>
    </w:p>
    <w:p w:rsidR="00C7235B" w:rsidRPr="004C738A" w:rsidRDefault="00211D1F" w:rsidP="00211D1F">
      <w:pPr>
        <w:rPr>
          <w:rFonts w:ascii="Times New Roman" w:hAnsi="Times New Roman"/>
          <w:sz w:val="24"/>
          <w:szCs w:val="24"/>
        </w:rPr>
      </w:pPr>
      <w:r w:rsidRPr="004C738A">
        <w:rPr>
          <w:rFonts w:ascii="Times New Roman" w:hAnsi="Times New Roman"/>
          <w:sz w:val="24"/>
          <w:szCs w:val="24"/>
        </w:rPr>
        <w:t>Das gilt insbesondere für das Verhältnis zwischen dem Gerichtshof und den nationalen Ve</w:t>
      </w:r>
      <w:r w:rsidRPr="004C738A">
        <w:rPr>
          <w:rFonts w:ascii="Times New Roman" w:hAnsi="Times New Roman"/>
          <w:sz w:val="24"/>
          <w:szCs w:val="24"/>
        </w:rPr>
        <w:t>r</w:t>
      </w:r>
      <w:r w:rsidRPr="004C738A">
        <w:rPr>
          <w:rFonts w:ascii="Times New Roman" w:hAnsi="Times New Roman"/>
          <w:sz w:val="24"/>
          <w:szCs w:val="24"/>
        </w:rPr>
        <w:t>fassungs- und Höchstgerichten</w:t>
      </w:r>
      <w:r w:rsidR="00900F50" w:rsidRPr="004C738A">
        <w:rPr>
          <w:rFonts w:ascii="Times New Roman" w:hAnsi="Times New Roman"/>
          <w:sz w:val="24"/>
          <w:szCs w:val="24"/>
        </w:rPr>
        <w:t>, weil allein sie praktisch – nicht theoretisch – in der Lage sind, die kaum kontrollierbare und korrigierbare Macht des Gerichtshofs auszubalancieren</w:t>
      </w:r>
      <w:r w:rsidRPr="004C738A">
        <w:rPr>
          <w:rFonts w:ascii="Times New Roman" w:hAnsi="Times New Roman"/>
          <w:sz w:val="24"/>
          <w:szCs w:val="24"/>
        </w:rPr>
        <w:t xml:space="preserve">. </w:t>
      </w:r>
      <w:r w:rsidR="00900F50" w:rsidRPr="004C738A">
        <w:rPr>
          <w:rFonts w:ascii="Times New Roman" w:hAnsi="Times New Roman"/>
          <w:i/>
          <w:sz w:val="24"/>
          <w:szCs w:val="24"/>
        </w:rPr>
        <w:t>Checks and balances</w:t>
      </w:r>
      <w:r w:rsidR="00900F50" w:rsidRPr="004C738A">
        <w:rPr>
          <w:rFonts w:ascii="Times New Roman" w:hAnsi="Times New Roman"/>
          <w:sz w:val="24"/>
          <w:szCs w:val="24"/>
        </w:rPr>
        <w:t xml:space="preserve"> ermöglicht auf der Ebene der EU weniger deren institutionelles Gleichgewicht zwischen den EU-Organen denn </w:t>
      </w:r>
      <w:r w:rsidR="00C65D9E" w:rsidRPr="004C738A">
        <w:rPr>
          <w:rFonts w:ascii="Times New Roman" w:hAnsi="Times New Roman"/>
          <w:sz w:val="24"/>
          <w:szCs w:val="24"/>
        </w:rPr>
        <w:t>die Kooperation im Verfassungsgerichtsverbund.</w:t>
      </w:r>
      <w:r w:rsidR="00366D4E" w:rsidRPr="004C738A">
        <w:rPr>
          <w:rFonts w:ascii="Times New Roman" w:hAnsi="Times New Roman"/>
          <w:sz w:val="24"/>
          <w:szCs w:val="24"/>
        </w:rPr>
        <w:t xml:space="preserve"> So gewiss ein Verfassungs- oder Höchstgericht diese Funktion auch alleine erfüllen kann: </w:t>
      </w:r>
      <w:r w:rsidR="00966EC5">
        <w:rPr>
          <w:rFonts w:ascii="Times New Roman" w:hAnsi="Times New Roman"/>
          <w:sz w:val="24"/>
          <w:szCs w:val="24"/>
        </w:rPr>
        <w:t>G</w:t>
      </w:r>
      <w:r w:rsidR="00966EC5" w:rsidRPr="004C738A">
        <w:rPr>
          <w:rFonts w:ascii="Times New Roman" w:hAnsi="Times New Roman"/>
          <w:sz w:val="24"/>
          <w:szCs w:val="24"/>
        </w:rPr>
        <w:t xml:space="preserve">emeinsames </w:t>
      </w:r>
      <w:r w:rsidR="00366D4E" w:rsidRPr="004C738A">
        <w:rPr>
          <w:rFonts w:ascii="Times New Roman" w:hAnsi="Times New Roman"/>
          <w:sz w:val="24"/>
          <w:szCs w:val="24"/>
        </w:rPr>
        <w:t>Handeln verspricht wirkungsvoller zu sein, wie die Entwicklung der Schranken- und Ident</w:t>
      </w:r>
      <w:r w:rsidR="00366D4E" w:rsidRPr="004C738A">
        <w:rPr>
          <w:rFonts w:ascii="Times New Roman" w:hAnsi="Times New Roman"/>
          <w:sz w:val="24"/>
          <w:szCs w:val="24"/>
        </w:rPr>
        <w:t>i</w:t>
      </w:r>
      <w:r w:rsidR="00366D4E" w:rsidRPr="004C738A">
        <w:rPr>
          <w:rFonts w:ascii="Times New Roman" w:hAnsi="Times New Roman"/>
          <w:sz w:val="24"/>
          <w:szCs w:val="24"/>
        </w:rPr>
        <w:lastRenderedPageBreak/>
        <w:t>tätsdogmatik zeigt. Entwickeln mehrere Verfassungsgerichte im Konzert und im zeitlichen Zusammenhang ähnliche Judikaturlinien, stehen sie nicht im Verdacht einen nationalen So</w:t>
      </w:r>
      <w:r w:rsidR="00366D4E" w:rsidRPr="004C738A">
        <w:rPr>
          <w:rFonts w:ascii="Times New Roman" w:hAnsi="Times New Roman"/>
          <w:sz w:val="24"/>
          <w:szCs w:val="24"/>
        </w:rPr>
        <w:t>n</w:t>
      </w:r>
      <w:r w:rsidR="00366D4E" w:rsidRPr="004C738A">
        <w:rPr>
          <w:rFonts w:ascii="Times New Roman" w:hAnsi="Times New Roman"/>
          <w:sz w:val="24"/>
          <w:szCs w:val="24"/>
        </w:rPr>
        <w:t>derweg gegenüber „Europa“ zu verteidigen. Zugleich kann die horizontale Interaktion der gemeinsamen Verantwortung mitgliedstaatlicher Gerichte für den europäischen Rechtsraum dienen, Orientierungen und Arbeitsweisen der nationalen Richter fortbilden sowie eine g</w:t>
      </w:r>
      <w:r w:rsidR="00366D4E" w:rsidRPr="004C738A">
        <w:rPr>
          <w:rFonts w:ascii="Times New Roman" w:hAnsi="Times New Roman"/>
          <w:sz w:val="24"/>
          <w:szCs w:val="24"/>
        </w:rPr>
        <w:t>e</w:t>
      </w:r>
      <w:r w:rsidR="00366D4E" w:rsidRPr="004C738A">
        <w:rPr>
          <w:rFonts w:ascii="Times New Roman" w:hAnsi="Times New Roman"/>
          <w:sz w:val="24"/>
          <w:szCs w:val="24"/>
        </w:rPr>
        <w:t>meinsame Begrifflichkeit und damit eine gemeinsame Rechtskultur fördern.</w:t>
      </w:r>
      <w:r w:rsidR="00EE0BD2" w:rsidRPr="004C738A">
        <w:rPr>
          <w:rStyle w:val="Funotenzeichen"/>
          <w:rFonts w:ascii="Times New Roman" w:hAnsi="Times New Roman" w:cs="Times New Roman"/>
          <w:sz w:val="24"/>
          <w:szCs w:val="24"/>
        </w:rPr>
        <w:footnoteReference w:id="79"/>
      </w:r>
      <w:r w:rsidR="00C65D9E" w:rsidRPr="004C738A">
        <w:rPr>
          <w:rFonts w:ascii="Times New Roman" w:hAnsi="Times New Roman"/>
          <w:sz w:val="24"/>
          <w:szCs w:val="24"/>
        </w:rPr>
        <w:t xml:space="preserve"> </w:t>
      </w:r>
    </w:p>
    <w:p w:rsidR="00C7235B" w:rsidRPr="004C738A" w:rsidRDefault="00C7235B" w:rsidP="00211D1F">
      <w:pPr>
        <w:rPr>
          <w:rFonts w:ascii="Times New Roman" w:hAnsi="Times New Roman"/>
          <w:sz w:val="24"/>
          <w:szCs w:val="24"/>
        </w:rPr>
      </w:pPr>
    </w:p>
    <w:p w:rsidR="00211D1F" w:rsidRPr="004C738A" w:rsidRDefault="00C7235B" w:rsidP="00211D1F">
      <w:pPr>
        <w:rPr>
          <w:rFonts w:ascii="Times New Roman" w:hAnsi="Times New Roman"/>
          <w:sz w:val="24"/>
          <w:szCs w:val="24"/>
        </w:rPr>
      </w:pPr>
      <w:r w:rsidRPr="004C738A">
        <w:rPr>
          <w:rFonts w:ascii="Times New Roman" w:hAnsi="Times New Roman"/>
          <w:sz w:val="24"/>
          <w:szCs w:val="24"/>
        </w:rPr>
        <w:t xml:space="preserve">Eine </w:t>
      </w:r>
      <w:r w:rsidR="00900F50" w:rsidRPr="004C738A">
        <w:rPr>
          <w:rFonts w:ascii="Times New Roman" w:hAnsi="Times New Roman"/>
          <w:sz w:val="24"/>
          <w:szCs w:val="24"/>
        </w:rPr>
        <w:t>Kooperation</w:t>
      </w:r>
      <w:r w:rsidRPr="004C738A">
        <w:rPr>
          <w:rFonts w:ascii="Times New Roman" w:hAnsi="Times New Roman"/>
          <w:sz w:val="24"/>
          <w:szCs w:val="24"/>
        </w:rPr>
        <w:t>, die d</w:t>
      </w:r>
      <w:r w:rsidR="00330F88" w:rsidRPr="004C738A">
        <w:rPr>
          <w:rFonts w:ascii="Times New Roman" w:hAnsi="Times New Roman"/>
          <w:sz w:val="24"/>
          <w:szCs w:val="24"/>
        </w:rPr>
        <w:t>i</w:t>
      </w:r>
      <w:r w:rsidRPr="004C738A">
        <w:rPr>
          <w:rFonts w:ascii="Times New Roman" w:hAnsi="Times New Roman"/>
          <w:sz w:val="24"/>
          <w:szCs w:val="24"/>
        </w:rPr>
        <w:t>e</w:t>
      </w:r>
      <w:r w:rsidR="00330F88" w:rsidRPr="004C738A">
        <w:rPr>
          <w:rFonts w:ascii="Times New Roman" w:hAnsi="Times New Roman"/>
          <w:sz w:val="24"/>
          <w:szCs w:val="24"/>
        </w:rPr>
        <w:t xml:space="preserve"> Bezeichnung </w:t>
      </w:r>
      <w:r w:rsidRPr="004C738A">
        <w:rPr>
          <w:rFonts w:ascii="Times New Roman" w:hAnsi="Times New Roman"/>
          <w:sz w:val="24"/>
          <w:szCs w:val="24"/>
        </w:rPr>
        <w:t>verdient,</w:t>
      </w:r>
      <w:r w:rsidR="00900F50" w:rsidRPr="004C738A">
        <w:rPr>
          <w:rFonts w:ascii="Times New Roman" w:hAnsi="Times New Roman"/>
          <w:sz w:val="24"/>
          <w:szCs w:val="24"/>
        </w:rPr>
        <w:t xml:space="preserve"> </w:t>
      </w:r>
      <w:r w:rsidR="00211D1F" w:rsidRPr="004C738A">
        <w:rPr>
          <w:rFonts w:ascii="Times New Roman" w:hAnsi="Times New Roman"/>
          <w:sz w:val="24"/>
          <w:szCs w:val="24"/>
        </w:rPr>
        <w:t xml:space="preserve">kann </w:t>
      </w:r>
      <w:r w:rsidR="00C65D9E" w:rsidRPr="004C738A">
        <w:rPr>
          <w:rFonts w:ascii="Times New Roman" w:hAnsi="Times New Roman"/>
          <w:sz w:val="24"/>
          <w:szCs w:val="24"/>
        </w:rPr>
        <w:t xml:space="preserve">allerdings </w:t>
      </w:r>
      <w:r w:rsidR="00211D1F" w:rsidRPr="004C738A">
        <w:rPr>
          <w:rFonts w:ascii="Times New Roman" w:hAnsi="Times New Roman"/>
          <w:sz w:val="24"/>
          <w:szCs w:val="24"/>
        </w:rPr>
        <w:t>nicht allein darin</w:t>
      </w:r>
      <w:r w:rsidR="00330F88" w:rsidRPr="004C738A">
        <w:rPr>
          <w:rFonts w:ascii="Times New Roman" w:hAnsi="Times New Roman"/>
          <w:sz w:val="24"/>
          <w:szCs w:val="24"/>
        </w:rPr>
        <w:t xml:space="preserve"> bestehen</w:t>
      </w:r>
      <w:r w:rsidR="00211D1F" w:rsidRPr="004C738A">
        <w:rPr>
          <w:rFonts w:ascii="Times New Roman" w:hAnsi="Times New Roman"/>
          <w:sz w:val="24"/>
          <w:szCs w:val="24"/>
        </w:rPr>
        <w:t>, dass</w:t>
      </w:r>
      <w:r w:rsidR="00330F88" w:rsidRPr="004C738A">
        <w:rPr>
          <w:rFonts w:ascii="Times New Roman" w:hAnsi="Times New Roman"/>
          <w:sz w:val="24"/>
          <w:szCs w:val="24"/>
        </w:rPr>
        <w:t xml:space="preserve"> die</w:t>
      </w:r>
      <w:r w:rsidR="00211D1F" w:rsidRPr="004C738A">
        <w:rPr>
          <w:rFonts w:ascii="Times New Roman" w:hAnsi="Times New Roman"/>
          <w:sz w:val="24"/>
          <w:szCs w:val="24"/>
        </w:rPr>
        <w:t xml:space="preserve"> </w:t>
      </w:r>
      <w:r w:rsidR="00900F50" w:rsidRPr="004C738A">
        <w:rPr>
          <w:rFonts w:ascii="Times New Roman" w:hAnsi="Times New Roman"/>
          <w:sz w:val="24"/>
          <w:szCs w:val="24"/>
        </w:rPr>
        <w:t>Verfassungs- und Höchstgerichte</w:t>
      </w:r>
      <w:r w:rsidRPr="004C738A">
        <w:rPr>
          <w:rFonts w:ascii="Times New Roman" w:hAnsi="Times New Roman"/>
          <w:sz w:val="24"/>
          <w:szCs w:val="24"/>
        </w:rPr>
        <w:t xml:space="preserve"> Vorabentscheidungsersuchen nach Art. 267 AEUV</w:t>
      </w:r>
      <w:r w:rsidR="00900F50" w:rsidRPr="004C738A">
        <w:rPr>
          <w:rFonts w:ascii="Times New Roman" w:hAnsi="Times New Roman"/>
          <w:sz w:val="24"/>
          <w:szCs w:val="24"/>
        </w:rPr>
        <w:t xml:space="preserve"> </w:t>
      </w:r>
      <w:r w:rsidR="00211D1F" w:rsidRPr="004C738A">
        <w:rPr>
          <w:rFonts w:ascii="Times New Roman" w:hAnsi="Times New Roman"/>
          <w:sz w:val="24"/>
          <w:szCs w:val="24"/>
        </w:rPr>
        <w:t>an den Gerichtshof s</w:t>
      </w:r>
      <w:r w:rsidRPr="004C738A">
        <w:rPr>
          <w:rFonts w:ascii="Times New Roman" w:hAnsi="Times New Roman"/>
          <w:sz w:val="24"/>
          <w:szCs w:val="24"/>
        </w:rPr>
        <w:t>chicken</w:t>
      </w:r>
      <w:r w:rsidR="00900F50" w:rsidRPr="004C738A">
        <w:rPr>
          <w:rFonts w:ascii="Times New Roman" w:hAnsi="Times New Roman"/>
          <w:sz w:val="24"/>
          <w:szCs w:val="24"/>
        </w:rPr>
        <w:t xml:space="preserve">, </w:t>
      </w:r>
      <w:r w:rsidR="00330F88" w:rsidRPr="004C738A">
        <w:rPr>
          <w:rFonts w:ascii="Times New Roman" w:hAnsi="Times New Roman"/>
          <w:sz w:val="24"/>
          <w:szCs w:val="24"/>
        </w:rPr>
        <w:t xml:space="preserve">und dies dort </w:t>
      </w:r>
      <w:r w:rsidR="00900F50" w:rsidRPr="004C738A">
        <w:rPr>
          <w:rFonts w:ascii="Times New Roman" w:hAnsi="Times New Roman"/>
          <w:sz w:val="24"/>
          <w:szCs w:val="24"/>
        </w:rPr>
        <w:t>als</w:t>
      </w:r>
      <w:r w:rsidR="00330F88" w:rsidRPr="004C738A">
        <w:rPr>
          <w:rFonts w:ascii="Times New Roman" w:hAnsi="Times New Roman"/>
          <w:sz w:val="24"/>
          <w:szCs w:val="24"/>
        </w:rPr>
        <w:t xml:space="preserve"> willkommene</w:t>
      </w:r>
      <w:r w:rsidR="00900F50" w:rsidRPr="004C738A">
        <w:rPr>
          <w:rFonts w:ascii="Times New Roman" w:hAnsi="Times New Roman"/>
          <w:sz w:val="24"/>
          <w:szCs w:val="24"/>
        </w:rPr>
        <w:t xml:space="preserve"> Unterwerfungsgeste (miss-</w:t>
      </w:r>
      <w:r w:rsidR="00900F50" w:rsidRPr="006A6D36">
        <w:rPr>
          <w:rFonts w:ascii="Times New Roman" w:hAnsi="Times New Roman"/>
          <w:sz w:val="24"/>
          <w:szCs w:val="24"/>
        </w:rPr>
        <w:t>)</w:t>
      </w:r>
      <w:r w:rsidR="00900F50" w:rsidRPr="004C738A">
        <w:rPr>
          <w:rFonts w:ascii="Times New Roman" w:hAnsi="Times New Roman"/>
          <w:sz w:val="24"/>
          <w:szCs w:val="24"/>
        </w:rPr>
        <w:t>verstanden w</w:t>
      </w:r>
      <w:r w:rsidR="00330F88" w:rsidRPr="004C738A">
        <w:rPr>
          <w:rFonts w:ascii="Times New Roman" w:hAnsi="Times New Roman"/>
          <w:sz w:val="24"/>
          <w:szCs w:val="24"/>
        </w:rPr>
        <w:t xml:space="preserve">ird, die </w:t>
      </w:r>
      <w:r w:rsidR="00211D1F" w:rsidRPr="004C738A">
        <w:rPr>
          <w:rFonts w:ascii="Times New Roman" w:hAnsi="Times New Roman"/>
          <w:sz w:val="24"/>
          <w:szCs w:val="24"/>
        </w:rPr>
        <w:t>Antwort</w:t>
      </w:r>
      <w:r w:rsidR="00330F88" w:rsidRPr="004C738A">
        <w:rPr>
          <w:rFonts w:ascii="Times New Roman" w:hAnsi="Times New Roman"/>
          <w:sz w:val="24"/>
          <w:szCs w:val="24"/>
        </w:rPr>
        <w:t xml:space="preserve"> demgegenüber</w:t>
      </w:r>
      <w:r w:rsidR="00900F50" w:rsidRPr="004C738A">
        <w:rPr>
          <w:rFonts w:ascii="Times New Roman" w:hAnsi="Times New Roman"/>
          <w:sz w:val="24"/>
          <w:szCs w:val="24"/>
        </w:rPr>
        <w:t xml:space="preserve"> zweitrangig ist. </w:t>
      </w:r>
      <w:r w:rsidR="00C65D9E" w:rsidRPr="004C738A">
        <w:rPr>
          <w:rFonts w:ascii="Times New Roman" w:hAnsi="Times New Roman"/>
          <w:sz w:val="24"/>
          <w:szCs w:val="24"/>
        </w:rPr>
        <w:t>D</w:t>
      </w:r>
      <w:r w:rsidR="00900F50" w:rsidRPr="004C738A">
        <w:rPr>
          <w:rFonts w:ascii="Times New Roman" w:hAnsi="Times New Roman"/>
          <w:sz w:val="24"/>
          <w:szCs w:val="24"/>
        </w:rPr>
        <w:t xml:space="preserve">er Gerichtshof </w:t>
      </w:r>
      <w:r w:rsidR="00C65D9E" w:rsidRPr="004C738A">
        <w:rPr>
          <w:rFonts w:ascii="Times New Roman" w:hAnsi="Times New Roman"/>
          <w:sz w:val="24"/>
          <w:szCs w:val="24"/>
        </w:rPr>
        <w:t xml:space="preserve">muss gerade </w:t>
      </w:r>
      <w:r w:rsidR="00211D1F" w:rsidRPr="004C738A">
        <w:rPr>
          <w:rFonts w:ascii="Times New Roman" w:hAnsi="Times New Roman"/>
          <w:sz w:val="24"/>
          <w:szCs w:val="24"/>
        </w:rPr>
        <w:t>die</w:t>
      </w:r>
      <w:r w:rsidR="00C65D9E" w:rsidRPr="004C738A">
        <w:rPr>
          <w:rFonts w:ascii="Times New Roman" w:hAnsi="Times New Roman"/>
          <w:sz w:val="24"/>
          <w:szCs w:val="24"/>
        </w:rPr>
        <w:t xml:space="preserve"> ihm von den Verfassungs- und Höchstgerichten </w:t>
      </w:r>
      <w:r w:rsidR="00211D1F" w:rsidRPr="004C738A">
        <w:rPr>
          <w:rFonts w:ascii="Times New Roman" w:hAnsi="Times New Roman"/>
          <w:sz w:val="24"/>
          <w:szCs w:val="24"/>
        </w:rPr>
        <w:t>artikulierten Probleme ernst n</w:t>
      </w:r>
      <w:r w:rsidR="00900F50" w:rsidRPr="004C738A">
        <w:rPr>
          <w:rFonts w:ascii="Times New Roman" w:hAnsi="Times New Roman"/>
          <w:sz w:val="24"/>
          <w:szCs w:val="24"/>
        </w:rPr>
        <w:t xml:space="preserve">ehmen </w:t>
      </w:r>
      <w:r w:rsidR="00211D1F" w:rsidRPr="004C738A">
        <w:rPr>
          <w:rFonts w:ascii="Times New Roman" w:hAnsi="Times New Roman"/>
          <w:sz w:val="24"/>
          <w:szCs w:val="24"/>
        </w:rPr>
        <w:t>und sie in einen größeren Kontext einordne</w:t>
      </w:r>
      <w:r w:rsidR="00900F50" w:rsidRPr="004C738A">
        <w:rPr>
          <w:rFonts w:ascii="Times New Roman" w:hAnsi="Times New Roman"/>
          <w:sz w:val="24"/>
          <w:szCs w:val="24"/>
        </w:rPr>
        <w:t>n</w:t>
      </w:r>
      <w:r w:rsidR="00211D1F" w:rsidRPr="004C738A">
        <w:rPr>
          <w:rFonts w:ascii="Times New Roman" w:hAnsi="Times New Roman"/>
          <w:sz w:val="24"/>
          <w:szCs w:val="24"/>
        </w:rPr>
        <w:t xml:space="preserve">. </w:t>
      </w:r>
      <w:r w:rsidR="00330F88" w:rsidRPr="004C738A">
        <w:rPr>
          <w:rFonts w:ascii="Times New Roman" w:hAnsi="Times New Roman"/>
          <w:sz w:val="24"/>
          <w:szCs w:val="24"/>
        </w:rPr>
        <w:t xml:space="preserve">Im Ergebnis, freilich weniger in der Begründung, kann der Gerichtshof hier durchaus Sensibilität zeigen. Das hat </w:t>
      </w:r>
      <w:r w:rsidR="00330F88" w:rsidRPr="004C738A">
        <w:rPr>
          <w:rFonts w:ascii="Times New Roman" w:hAnsi="Times New Roman"/>
          <w:i/>
          <w:sz w:val="24"/>
          <w:szCs w:val="24"/>
        </w:rPr>
        <w:t xml:space="preserve">Ulrich Everling </w:t>
      </w:r>
      <w:r w:rsidR="00330F88" w:rsidRPr="004C738A">
        <w:rPr>
          <w:rFonts w:ascii="Times New Roman" w:hAnsi="Times New Roman"/>
          <w:sz w:val="24"/>
          <w:szCs w:val="24"/>
        </w:rPr>
        <w:t>schon in e</w:t>
      </w:r>
      <w:r w:rsidR="00330F88" w:rsidRPr="004C738A">
        <w:rPr>
          <w:rFonts w:ascii="Times New Roman" w:hAnsi="Times New Roman"/>
          <w:sz w:val="24"/>
          <w:szCs w:val="24"/>
        </w:rPr>
        <w:t>i</w:t>
      </w:r>
      <w:r w:rsidR="00330F88" w:rsidRPr="004C738A">
        <w:rPr>
          <w:rFonts w:ascii="Times New Roman" w:hAnsi="Times New Roman"/>
          <w:sz w:val="24"/>
          <w:szCs w:val="24"/>
        </w:rPr>
        <w:t xml:space="preserve">nem vor nunmehr </w:t>
      </w:r>
      <w:r w:rsidR="006A6D36" w:rsidRPr="004C738A">
        <w:rPr>
          <w:rFonts w:ascii="Times New Roman" w:hAnsi="Times New Roman"/>
          <w:sz w:val="24"/>
          <w:szCs w:val="24"/>
        </w:rPr>
        <w:t>17</w:t>
      </w:r>
      <w:r w:rsidR="006A6D36">
        <w:rPr>
          <w:rFonts w:ascii="Times New Roman" w:hAnsi="Times New Roman"/>
          <w:sz w:val="24"/>
          <w:szCs w:val="24"/>
        </w:rPr>
        <w:t> </w:t>
      </w:r>
      <w:r w:rsidR="00330F88" w:rsidRPr="004C738A">
        <w:rPr>
          <w:rFonts w:ascii="Times New Roman" w:hAnsi="Times New Roman"/>
          <w:sz w:val="24"/>
          <w:szCs w:val="24"/>
        </w:rPr>
        <w:t>Jahren erschienen Aufsatz anschaulich dargelegt</w:t>
      </w:r>
      <w:r w:rsidR="00330F88" w:rsidRPr="004C738A">
        <w:rPr>
          <w:rFonts w:ascii="Times New Roman" w:hAnsi="Times New Roman"/>
          <w:sz w:val="24"/>
          <w:szCs w:val="24"/>
          <w:vertAlign w:val="superscript"/>
        </w:rPr>
        <w:footnoteReference w:id="80"/>
      </w:r>
      <w:r w:rsidR="00330F88" w:rsidRPr="004C738A">
        <w:rPr>
          <w:rFonts w:ascii="Times New Roman" w:hAnsi="Times New Roman"/>
          <w:sz w:val="24"/>
          <w:szCs w:val="24"/>
        </w:rPr>
        <w:t xml:space="preserve"> und wird durch zah</w:t>
      </w:r>
      <w:r w:rsidR="00330F88" w:rsidRPr="004C738A">
        <w:rPr>
          <w:rFonts w:ascii="Times New Roman" w:hAnsi="Times New Roman"/>
          <w:sz w:val="24"/>
          <w:szCs w:val="24"/>
        </w:rPr>
        <w:t>l</w:t>
      </w:r>
      <w:r w:rsidR="00330F88" w:rsidRPr="004C738A">
        <w:rPr>
          <w:rFonts w:ascii="Times New Roman" w:hAnsi="Times New Roman"/>
          <w:sz w:val="24"/>
          <w:szCs w:val="24"/>
        </w:rPr>
        <w:t>reiche Beispiele untermauert.</w:t>
      </w:r>
      <w:r w:rsidR="00330F88" w:rsidRPr="004C738A">
        <w:rPr>
          <w:rFonts w:ascii="Times New Roman" w:hAnsi="Times New Roman"/>
          <w:sz w:val="24"/>
          <w:szCs w:val="24"/>
          <w:vertAlign w:val="superscript"/>
        </w:rPr>
        <w:footnoteReference w:id="81"/>
      </w:r>
      <w:r w:rsidR="00330F88" w:rsidRPr="004C738A">
        <w:rPr>
          <w:rFonts w:ascii="Times New Roman" w:hAnsi="Times New Roman"/>
          <w:sz w:val="24"/>
          <w:szCs w:val="24"/>
        </w:rPr>
        <w:t xml:space="preserve"> Aber es gibt auch Gegenbeispiele: So </w:t>
      </w:r>
      <w:r w:rsidR="00FD43B9" w:rsidRPr="004C738A">
        <w:rPr>
          <w:rFonts w:ascii="Times New Roman" w:hAnsi="Times New Roman"/>
          <w:sz w:val="24"/>
          <w:szCs w:val="24"/>
        </w:rPr>
        <w:t xml:space="preserve">konnte man in </w:t>
      </w:r>
      <w:r w:rsidR="00B525CC" w:rsidRPr="004C738A">
        <w:rPr>
          <w:rFonts w:ascii="Times New Roman" w:hAnsi="Times New Roman"/>
          <w:sz w:val="24"/>
          <w:szCs w:val="24"/>
        </w:rPr>
        <w:t>Bege</w:t>
      </w:r>
      <w:r w:rsidR="00B525CC" w:rsidRPr="004C738A">
        <w:rPr>
          <w:rFonts w:ascii="Times New Roman" w:hAnsi="Times New Roman"/>
          <w:sz w:val="24"/>
          <w:szCs w:val="24"/>
        </w:rPr>
        <w:t>g</w:t>
      </w:r>
      <w:r w:rsidR="00B525CC" w:rsidRPr="004C738A">
        <w:rPr>
          <w:rFonts w:ascii="Times New Roman" w:hAnsi="Times New Roman"/>
          <w:sz w:val="24"/>
          <w:szCs w:val="24"/>
        </w:rPr>
        <w:t xml:space="preserve">nungen </w:t>
      </w:r>
      <w:r w:rsidR="00FD43B9" w:rsidRPr="004C738A">
        <w:rPr>
          <w:rFonts w:ascii="Times New Roman" w:hAnsi="Times New Roman"/>
          <w:sz w:val="24"/>
          <w:szCs w:val="24"/>
        </w:rPr>
        <w:t xml:space="preserve">mit </w:t>
      </w:r>
      <w:r w:rsidR="00B525CC" w:rsidRPr="004C738A">
        <w:rPr>
          <w:rFonts w:ascii="Times New Roman" w:hAnsi="Times New Roman"/>
          <w:sz w:val="24"/>
          <w:szCs w:val="24"/>
        </w:rPr>
        <w:t>britischen Richtern und Politikern</w:t>
      </w:r>
      <w:r w:rsidR="00330F88" w:rsidRPr="004C738A">
        <w:rPr>
          <w:rFonts w:ascii="Times New Roman" w:hAnsi="Times New Roman"/>
          <w:sz w:val="24"/>
          <w:szCs w:val="24"/>
        </w:rPr>
        <w:t xml:space="preserve"> seit Jahren</w:t>
      </w:r>
      <w:r w:rsidR="00B525CC" w:rsidRPr="004C738A">
        <w:rPr>
          <w:rFonts w:ascii="Times New Roman" w:hAnsi="Times New Roman"/>
          <w:sz w:val="24"/>
          <w:szCs w:val="24"/>
        </w:rPr>
        <w:t xml:space="preserve"> erfahren, dass eine Ursache für das Unbehagen </w:t>
      </w:r>
      <w:r w:rsidR="00FD43B9" w:rsidRPr="004C738A">
        <w:rPr>
          <w:rFonts w:ascii="Times New Roman" w:hAnsi="Times New Roman"/>
          <w:sz w:val="24"/>
          <w:szCs w:val="24"/>
        </w:rPr>
        <w:t xml:space="preserve">vieler britischer Entscheidungsträger </w:t>
      </w:r>
      <w:r w:rsidR="00B525CC" w:rsidRPr="004C738A">
        <w:rPr>
          <w:rFonts w:ascii="Times New Roman" w:hAnsi="Times New Roman"/>
          <w:sz w:val="24"/>
          <w:szCs w:val="24"/>
        </w:rPr>
        <w:t xml:space="preserve">an der Europäischen Union </w:t>
      </w:r>
      <w:r w:rsidR="00FD43B9" w:rsidRPr="004C738A">
        <w:rPr>
          <w:rFonts w:ascii="Times New Roman" w:hAnsi="Times New Roman"/>
          <w:sz w:val="24"/>
          <w:szCs w:val="24"/>
        </w:rPr>
        <w:t>die Befürchtung war</w:t>
      </w:r>
      <w:r w:rsidR="00D65133">
        <w:rPr>
          <w:rFonts w:ascii="Times New Roman" w:hAnsi="Times New Roman"/>
          <w:sz w:val="24"/>
          <w:szCs w:val="24"/>
        </w:rPr>
        <w:t>,</w:t>
      </w:r>
      <w:r w:rsidR="00B525CC" w:rsidRPr="004C738A">
        <w:rPr>
          <w:rFonts w:ascii="Times New Roman" w:hAnsi="Times New Roman"/>
          <w:sz w:val="24"/>
          <w:szCs w:val="24"/>
        </w:rPr>
        <w:t xml:space="preserve"> dass sich </w:t>
      </w:r>
      <w:r w:rsidR="00FD43B9" w:rsidRPr="004C738A">
        <w:rPr>
          <w:rFonts w:ascii="Times New Roman" w:hAnsi="Times New Roman"/>
          <w:sz w:val="24"/>
          <w:szCs w:val="24"/>
        </w:rPr>
        <w:t xml:space="preserve">die </w:t>
      </w:r>
      <w:r w:rsidR="00B525CC" w:rsidRPr="004C738A">
        <w:rPr>
          <w:rFonts w:ascii="Times New Roman" w:hAnsi="Times New Roman"/>
          <w:sz w:val="24"/>
          <w:szCs w:val="24"/>
        </w:rPr>
        <w:t>Verfassungsidentität</w:t>
      </w:r>
      <w:r w:rsidR="00FD43B9" w:rsidRPr="004C738A">
        <w:rPr>
          <w:rFonts w:ascii="Times New Roman" w:hAnsi="Times New Roman"/>
          <w:sz w:val="24"/>
          <w:szCs w:val="24"/>
        </w:rPr>
        <w:t xml:space="preserve"> Großbritanniens</w:t>
      </w:r>
      <w:r w:rsidR="00B525CC" w:rsidRPr="004C738A">
        <w:rPr>
          <w:rFonts w:ascii="Times New Roman" w:hAnsi="Times New Roman"/>
          <w:sz w:val="24"/>
          <w:szCs w:val="24"/>
        </w:rPr>
        <w:t xml:space="preserve"> unter dem Druck der Europäisierung und der Rechtsprechung des Gerichtshofes in Nichts auflösen würde.</w:t>
      </w:r>
      <w:r w:rsidR="00B525CC" w:rsidRPr="004C738A">
        <w:rPr>
          <w:rStyle w:val="Funotenzeichen"/>
          <w:rFonts w:ascii="Times New Roman" w:hAnsi="Times New Roman" w:cs="Times New Roman"/>
          <w:sz w:val="24"/>
          <w:szCs w:val="24"/>
        </w:rPr>
        <w:footnoteReference w:id="82"/>
      </w:r>
      <w:r w:rsidR="00B525CC" w:rsidRPr="004C738A">
        <w:rPr>
          <w:rFonts w:ascii="Times New Roman" w:hAnsi="Times New Roman"/>
          <w:sz w:val="24"/>
          <w:szCs w:val="24"/>
        </w:rPr>
        <w:t xml:space="preserve"> </w:t>
      </w:r>
      <w:r w:rsidR="00330F88" w:rsidRPr="004C738A">
        <w:rPr>
          <w:rFonts w:ascii="Times New Roman" w:hAnsi="Times New Roman"/>
          <w:sz w:val="24"/>
          <w:szCs w:val="24"/>
        </w:rPr>
        <w:t>Erkennbar Rechnung getragen wurde dem nicht.</w:t>
      </w:r>
    </w:p>
    <w:p w:rsidR="003F13D1" w:rsidRPr="004C738A" w:rsidRDefault="003F13D1" w:rsidP="009D6549">
      <w:pPr>
        <w:rPr>
          <w:rFonts w:ascii="Times New Roman" w:hAnsi="Times New Roman"/>
          <w:sz w:val="24"/>
          <w:szCs w:val="24"/>
        </w:rPr>
      </w:pPr>
    </w:p>
    <w:p w:rsidR="00C65D9E" w:rsidRPr="004C738A" w:rsidRDefault="00330F88" w:rsidP="009D6549">
      <w:pPr>
        <w:rPr>
          <w:rFonts w:ascii="Times New Roman" w:hAnsi="Times New Roman"/>
          <w:sz w:val="24"/>
          <w:szCs w:val="24"/>
        </w:rPr>
      </w:pPr>
      <w:r w:rsidRPr="004C738A">
        <w:rPr>
          <w:rFonts w:ascii="Times New Roman" w:hAnsi="Times New Roman"/>
          <w:sz w:val="24"/>
          <w:szCs w:val="24"/>
        </w:rPr>
        <w:t>D</w:t>
      </w:r>
      <w:r w:rsidR="00C65D9E" w:rsidRPr="004C738A">
        <w:rPr>
          <w:rFonts w:ascii="Times New Roman" w:hAnsi="Times New Roman"/>
          <w:sz w:val="24"/>
          <w:szCs w:val="24"/>
        </w:rPr>
        <w:t xml:space="preserve">er europäische Rechtsprechungs- und Verfassungsgerichtsverbund </w:t>
      </w:r>
      <w:r w:rsidRPr="004C738A">
        <w:rPr>
          <w:rFonts w:ascii="Times New Roman" w:hAnsi="Times New Roman"/>
          <w:sz w:val="24"/>
          <w:szCs w:val="24"/>
        </w:rPr>
        <w:t xml:space="preserve">ist </w:t>
      </w:r>
      <w:r w:rsidR="00C65D9E" w:rsidRPr="004C738A">
        <w:rPr>
          <w:rFonts w:ascii="Times New Roman" w:hAnsi="Times New Roman"/>
          <w:sz w:val="24"/>
          <w:szCs w:val="24"/>
        </w:rPr>
        <w:t xml:space="preserve">auf funktionierende </w:t>
      </w:r>
      <w:r w:rsidRPr="004C738A">
        <w:rPr>
          <w:rFonts w:ascii="Times New Roman" w:hAnsi="Times New Roman"/>
          <w:sz w:val="24"/>
          <w:szCs w:val="24"/>
        </w:rPr>
        <w:t xml:space="preserve">nationale </w:t>
      </w:r>
      <w:r w:rsidR="00C65D9E" w:rsidRPr="004C738A">
        <w:rPr>
          <w:rFonts w:ascii="Times New Roman" w:hAnsi="Times New Roman"/>
          <w:sz w:val="24"/>
          <w:szCs w:val="24"/>
        </w:rPr>
        <w:t>Gerichte angewiesen, insbesondere auf funktionierende Verfassungs- und Höchstg</w:t>
      </w:r>
      <w:r w:rsidR="00C65D9E" w:rsidRPr="004C738A">
        <w:rPr>
          <w:rFonts w:ascii="Times New Roman" w:hAnsi="Times New Roman"/>
          <w:sz w:val="24"/>
          <w:szCs w:val="24"/>
        </w:rPr>
        <w:t>e</w:t>
      </w:r>
      <w:r w:rsidR="00C65D9E" w:rsidRPr="004C738A">
        <w:rPr>
          <w:rFonts w:ascii="Times New Roman" w:hAnsi="Times New Roman"/>
          <w:sz w:val="24"/>
          <w:szCs w:val="24"/>
        </w:rPr>
        <w:t>richte. Geraten sie in einem Staat unter Druck, so hat dies sowohl für den mit ihnen in ein Kooperationsverhältnis eingebundenen Gerichtshof der Europäischen Union</w:t>
      </w:r>
      <w:r w:rsidR="000F66BC" w:rsidRPr="004C738A">
        <w:rPr>
          <w:rFonts w:ascii="Times New Roman" w:hAnsi="Times New Roman"/>
          <w:sz w:val="24"/>
          <w:szCs w:val="24"/>
        </w:rPr>
        <w:t xml:space="preserve"> ebenso negative, ggf. sogar funktionsgefährdende Rückwirkungen wie </w:t>
      </w:r>
      <w:r w:rsidR="00C65D9E" w:rsidRPr="004C738A">
        <w:rPr>
          <w:rFonts w:ascii="Times New Roman" w:hAnsi="Times New Roman"/>
          <w:sz w:val="24"/>
          <w:szCs w:val="24"/>
        </w:rPr>
        <w:t xml:space="preserve">für die Verfassungs- und Höchstgerichte </w:t>
      </w:r>
      <w:r w:rsidR="000F66BC" w:rsidRPr="004C738A">
        <w:rPr>
          <w:rFonts w:ascii="Times New Roman" w:hAnsi="Times New Roman"/>
          <w:sz w:val="24"/>
          <w:szCs w:val="24"/>
        </w:rPr>
        <w:lastRenderedPageBreak/>
        <w:t>der anderen Mitgliedstaaten. Das kann von der Auswahl zweifelhafter Kandidaten, vor der das Gremium nach Art. 255 AEUV nur begrenzt schützen kann, über Erschütterungen des gegenseitigen Vertrauens bis zu einer negativen Vorbildwirkung und einer schleichenden U</w:t>
      </w:r>
      <w:r w:rsidR="000F66BC" w:rsidRPr="004C738A">
        <w:rPr>
          <w:rFonts w:ascii="Times New Roman" w:hAnsi="Times New Roman"/>
          <w:sz w:val="24"/>
          <w:szCs w:val="24"/>
        </w:rPr>
        <w:t>n</w:t>
      </w:r>
      <w:r w:rsidR="000F66BC" w:rsidRPr="004C738A">
        <w:rPr>
          <w:rFonts w:ascii="Times New Roman" w:hAnsi="Times New Roman"/>
          <w:sz w:val="24"/>
          <w:szCs w:val="24"/>
        </w:rPr>
        <w:t xml:space="preserve">terminierung der Werte reichen, auf denen die Europäische Union beruht. Die erfolgreiche </w:t>
      </w:r>
      <w:r w:rsidR="00C65D9E" w:rsidRPr="004C738A">
        <w:rPr>
          <w:rFonts w:ascii="Times New Roman" w:hAnsi="Times New Roman"/>
          <w:sz w:val="24"/>
          <w:szCs w:val="24"/>
        </w:rPr>
        <w:t xml:space="preserve">Demontage eines nationalen Verfassungsgerichts </w:t>
      </w:r>
      <w:r w:rsidR="000F66BC" w:rsidRPr="004C738A">
        <w:rPr>
          <w:rFonts w:ascii="Times New Roman" w:hAnsi="Times New Roman"/>
          <w:sz w:val="24"/>
          <w:szCs w:val="24"/>
        </w:rPr>
        <w:t xml:space="preserve">kann insoweit </w:t>
      </w:r>
      <w:r w:rsidR="00C65D9E" w:rsidRPr="004C738A">
        <w:rPr>
          <w:rFonts w:ascii="Times New Roman" w:hAnsi="Times New Roman"/>
          <w:sz w:val="24"/>
          <w:szCs w:val="24"/>
        </w:rPr>
        <w:t>einen Dominoeffekt auslösen.</w:t>
      </w:r>
    </w:p>
    <w:p w:rsidR="00211D1F" w:rsidRPr="004C738A" w:rsidRDefault="00211D1F" w:rsidP="009D6549">
      <w:pPr>
        <w:rPr>
          <w:rFonts w:ascii="Times New Roman" w:hAnsi="Times New Roman"/>
          <w:sz w:val="24"/>
          <w:szCs w:val="24"/>
        </w:rPr>
      </w:pPr>
    </w:p>
    <w:p w:rsidR="00A640CF" w:rsidRPr="004C738A" w:rsidRDefault="00A640CF" w:rsidP="00A640CF">
      <w:pPr>
        <w:pStyle w:val="berschrift2"/>
        <w:rPr>
          <w:rFonts w:ascii="Times New Roman" w:hAnsi="Times New Roman" w:cs="Times New Roman"/>
          <w:sz w:val="24"/>
          <w:szCs w:val="24"/>
        </w:rPr>
      </w:pPr>
      <w:bookmarkStart w:id="17" w:name="_Toc498362311"/>
      <w:r w:rsidRPr="004C738A">
        <w:rPr>
          <w:rFonts w:ascii="Times New Roman" w:hAnsi="Times New Roman" w:cs="Times New Roman"/>
          <w:sz w:val="24"/>
          <w:szCs w:val="24"/>
        </w:rPr>
        <w:t xml:space="preserve">3. </w:t>
      </w:r>
      <w:r w:rsidR="00330F88" w:rsidRPr="004C738A">
        <w:rPr>
          <w:rFonts w:ascii="Times New Roman" w:hAnsi="Times New Roman" w:cs="Times New Roman"/>
          <w:sz w:val="24"/>
          <w:szCs w:val="24"/>
        </w:rPr>
        <w:t>Rechtsstaatliche Kooperation im e</w:t>
      </w:r>
      <w:r w:rsidRPr="004C738A">
        <w:rPr>
          <w:rFonts w:ascii="Times New Roman" w:hAnsi="Times New Roman" w:cs="Times New Roman"/>
          <w:sz w:val="24"/>
          <w:szCs w:val="24"/>
        </w:rPr>
        <w:t>uropäische</w:t>
      </w:r>
      <w:r w:rsidR="00330F88" w:rsidRPr="004C738A">
        <w:rPr>
          <w:rFonts w:ascii="Times New Roman" w:hAnsi="Times New Roman" w:cs="Times New Roman"/>
          <w:sz w:val="24"/>
          <w:szCs w:val="24"/>
        </w:rPr>
        <w:t>n</w:t>
      </w:r>
      <w:r w:rsidRPr="004C738A">
        <w:rPr>
          <w:rFonts w:ascii="Times New Roman" w:hAnsi="Times New Roman" w:cs="Times New Roman"/>
          <w:sz w:val="24"/>
          <w:szCs w:val="24"/>
        </w:rPr>
        <w:t xml:space="preserve"> Rechtsraum i.w.S.</w:t>
      </w:r>
      <w:bookmarkEnd w:id="17"/>
    </w:p>
    <w:p w:rsidR="00A640CF" w:rsidRPr="004C738A" w:rsidRDefault="00A640CF" w:rsidP="00303D79">
      <w:pPr>
        <w:rPr>
          <w:rFonts w:ascii="Times New Roman" w:hAnsi="Times New Roman"/>
          <w:sz w:val="24"/>
          <w:szCs w:val="24"/>
        </w:rPr>
      </w:pPr>
      <w:r w:rsidRPr="004C738A">
        <w:rPr>
          <w:rFonts w:ascii="Times New Roman" w:hAnsi="Times New Roman"/>
          <w:sz w:val="24"/>
          <w:szCs w:val="24"/>
        </w:rPr>
        <w:t>Für Entwicklungen außerhalb der Europäischen Union mag die Umwandlung eines demokr</w:t>
      </w:r>
      <w:r w:rsidRPr="004C738A">
        <w:rPr>
          <w:rFonts w:ascii="Times New Roman" w:hAnsi="Times New Roman"/>
          <w:sz w:val="24"/>
          <w:szCs w:val="24"/>
        </w:rPr>
        <w:t>a</w:t>
      </w:r>
      <w:r w:rsidRPr="004C738A">
        <w:rPr>
          <w:rFonts w:ascii="Times New Roman" w:hAnsi="Times New Roman"/>
          <w:sz w:val="24"/>
          <w:szCs w:val="24"/>
        </w:rPr>
        <w:t>tischen Rechts- und Verfassungsstaates in ein autoritäres Herrschaftsgebilde zwar weniger existentielle Rückwirkungen auf Deutschland und andere Mitgliedstaaten haben. Die negative Vorbildwirkung und das Zersetzungspotential sind aber auch im Kontext des Europarates oder der NATO nicht zu unterschätzen. Das gilt etwa mit Blick auf die Auswahl der Richter am Europäischen Gerichtshof für Menschenrechte oder die Arbeit der Venedig-Kommission</w:t>
      </w:r>
      <w:r w:rsidR="006A6D36">
        <w:rPr>
          <w:rFonts w:ascii="Times New Roman" w:hAnsi="Times New Roman"/>
          <w:sz w:val="24"/>
          <w:szCs w:val="24"/>
        </w:rPr>
        <w:t>.</w:t>
      </w:r>
      <w:r w:rsidRPr="004C738A">
        <w:rPr>
          <w:rFonts w:ascii="Times New Roman" w:hAnsi="Times New Roman"/>
          <w:sz w:val="24"/>
          <w:szCs w:val="24"/>
        </w:rPr>
        <w:t xml:space="preserve"> Im Übrigen gibt es auch mit den Staaten des Europarates einen intensiven Auslieferungsverkehr </w:t>
      </w:r>
      <w:r w:rsidR="006A6D36" w:rsidRPr="004C738A">
        <w:rPr>
          <w:rFonts w:ascii="Times New Roman" w:hAnsi="Times New Roman"/>
          <w:sz w:val="24"/>
          <w:szCs w:val="24"/>
        </w:rPr>
        <w:t>(§§</w:t>
      </w:r>
      <w:r w:rsidR="006A6D36">
        <w:rPr>
          <w:rFonts w:ascii="Times New Roman" w:hAnsi="Times New Roman"/>
          <w:sz w:val="24"/>
          <w:szCs w:val="24"/>
        </w:rPr>
        <w:t> </w:t>
      </w:r>
      <w:r w:rsidR="006A6D36" w:rsidRPr="004C738A">
        <w:rPr>
          <w:rFonts w:ascii="Times New Roman" w:hAnsi="Times New Roman"/>
          <w:sz w:val="24"/>
          <w:szCs w:val="24"/>
        </w:rPr>
        <w:t>1</w:t>
      </w:r>
      <w:r w:rsidR="006A6D36">
        <w:rPr>
          <w:rFonts w:ascii="Times New Roman" w:hAnsi="Times New Roman"/>
          <w:sz w:val="24"/>
          <w:szCs w:val="24"/>
        </w:rPr>
        <w:t> </w:t>
      </w:r>
      <w:r w:rsidRPr="004C738A">
        <w:rPr>
          <w:rFonts w:ascii="Times New Roman" w:hAnsi="Times New Roman"/>
          <w:sz w:val="24"/>
          <w:szCs w:val="24"/>
        </w:rPr>
        <w:t>ff. IRG) und eine Zusammenarbeit bei Ausweisungen und Abschiebungen.</w:t>
      </w:r>
      <w:r w:rsidRPr="004C738A">
        <w:rPr>
          <w:rStyle w:val="Funotenzeichen"/>
          <w:rFonts w:ascii="Times New Roman" w:hAnsi="Times New Roman" w:cs="Times New Roman"/>
          <w:sz w:val="24"/>
          <w:szCs w:val="24"/>
        </w:rPr>
        <w:footnoteReference w:id="83"/>
      </w:r>
    </w:p>
    <w:p w:rsidR="002B6EF2" w:rsidRPr="004C738A" w:rsidRDefault="002B6EF2" w:rsidP="00303D79">
      <w:pPr>
        <w:pStyle w:val="berschrift1"/>
        <w:rPr>
          <w:rFonts w:ascii="Times New Roman" w:hAnsi="Times New Roman" w:cs="Times New Roman"/>
          <w:sz w:val="24"/>
          <w:szCs w:val="24"/>
        </w:rPr>
      </w:pPr>
      <w:bookmarkStart w:id="18" w:name="_Toc498362312"/>
      <w:r w:rsidRPr="004C738A">
        <w:rPr>
          <w:rFonts w:ascii="Times New Roman" w:hAnsi="Times New Roman" w:cs="Times New Roman"/>
          <w:sz w:val="24"/>
          <w:szCs w:val="24"/>
        </w:rPr>
        <w:t xml:space="preserve">III. Reaktionsmöglichkeiten im </w:t>
      </w:r>
      <w:r w:rsidR="00B525CC" w:rsidRPr="004C738A">
        <w:rPr>
          <w:rFonts w:ascii="Times New Roman" w:hAnsi="Times New Roman" w:cs="Times New Roman"/>
          <w:sz w:val="24"/>
          <w:szCs w:val="24"/>
        </w:rPr>
        <w:t>Rechtsprechungs- und Verfassungsg</w:t>
      </w:r>
      <w:r w:rsidRPr="004C738A">
        <w:rPr>
          <w:rFonts w:ascii="Times New Roman" w:hAnsi="Times New Roman" w:cs="Times New Roman"/>
          <w:sz w:val="24"/>
          <w:szCs w:val="24"/>
        </w:rPr>
        <w:t>erichtsverbund</w:t>
      </w:r>
      <w:bookmarkEnd w:id="18"/>
    </w:p>
    <w:p w:rsidR="002A5340" w:rsidRPr="004C738A" w:rsidRDefault="002A5340" w:rsidP="00303D79">
      <w:pPr>
        <w:rPr>
          <w:rFonts w:ascii="Times New Roman" w:hAnsi="Times New Roman"/>
          <w:sz w:val="24"/>
          <w:szCs w:val="24"/>
        </w:rPr>
      </w:pPr>
    </w:p>
    <w:p w:rsidR="002A5340" w:rsidRPr="004C738A" w:rsidRDefault="002A5340" w:rsidP="00303D79">
      <w:pPr>
        <w:pStyle w:val="berschrift2"/>
        <w:rPr>
          <w:rFonts w:ascii="Times New Roman" w:hAnsi="Times New Roman" w:cs="Times New Roman"/>
          <w:sz w:val="24"/>
          <w:szCs w:val="24"/>
        </w:rPr>
      </w:pPr>
      <w:bookmarkStart w:id="19" w:name="_Toc498362313"/>
      <w:r w:rsidRPr="004C738A">
        <w:rPr>
          <w:rFonts w:ascii="Times New Roman" w:hAnsi="Times New Roman" w:cs="Times New Roman"/>
          <w:sz w:val="24"/>
          <w:szCs w:val="24"/>
        </w:rPr>
        <w:t>1. Formelle Instrumente</w:t>
      </w:r>
      <w:bookmarkEnd w:id="19"/>
    </w:p>
    <w:p w:rsidR="00A27BBE" w:rsidRPr="004C738A" w:rsidRDefault="002B6EF2" w:rsidP="00303D79">
      <w:pPr>
        <w:rPr>
          <w:rFonts w:ascii="Times New Roman" w:hAnsi="Times New Roman"/>
          <w:sz w:val="24"/>
          <w:szCs w:val="24"/>
        </w:rPr>
      </w:pPr>
      <w:r w:rsidRPr="004C738A">
        <w:rPr>
          <w:rFonts w:ascii="Times New Roman" w:hAnsi="Times New Roman"/>
          <w:sz w:val="24"/>
          <w:szCs w:val="24"/>
        </w:rPr>
        <w:t>Die Gewährleistung von Freiheit, Rechtsstaatlichkeit und Demokratie ist zwar in erster Linie eine Aufgabe der Politik. Vor allem die EU-Kommission kommt dem, wie dargelegt, unbeirrt nach, auch wenn sich die stärkste Waffe, das Verfahren nach Art</w:t>
      </w:r>
      <w:r w:rsidR="006A6D36" w:rsidRPr="004C738A">
        <w:rPr>
          <w:rFonts w:ascii="Times New Roman" w:hAnsi="Times New Roman"/>
          <w:sz w:val="24"/>
          <w:szCs w:val="24"/>
        </w:rPr>
        <w:t>.</w:t>
      </w:r>
      <w:r w:rsidR="006A6D36">
        <w:rPr>
          <w:rFonts w:ascii="Times New Roman" w:hAnsi="Times New Roman"/>
          <w:sz w:val="24"/>
          <w:szCs w:val="24"/>
        </w:rPr>
        <w:t> </w:t>
      </w:r>
      <w:r w:rsidRPr="004C738A">
        <w:rPr>
          <w:rFonts w:ascii="Times New Roman" w:hAnsi="Times New Roman"/>
          <w:sz w:val="24"/>
          <w:szCs w:val="24"/>
        </w:rPr>
        <w:t>7 EUV,</w:t>
      </w:r>
      <w:r w:rsidRPr="004C738A">
        <w:rPr>
          <w:rStyle w:val="Funotenzeichen"/>
          <w:rFonts w:ascii="Times New Roman" w:hAnsi="Times New Roman" w:cs="Times New Roman"/>
          <w:sz w:val="24"/>
          <w:szCs w:val="24"/>
        </w:rPr>
        <w:footnoteReference w:id="84"/>
      </w:r>
      <w:r w:rsidRPr="004C738A">
        <w:rPr>
          <w:rFonts w:ascii="Times New Roman" w:hAnsi="Times New Roman"/>
          <w:sz w:val="24"/>
          <w:szCs w:val="24"/>
        </w:rPr>
        <w:t xml:space="preserve"> als stumpfes Schwert erweisen könnte. Daneben sollte die Rolle der Gerichte j</w:t>
      </w:r>
      <w:r w:rsidR="00A27BBE" w:rsidRPr="004C738A">
        <w:rPr>
          <w:rFonts w:ascii="Times New Roman" w:hAnsi="Times New Roman"/>
          <w:sz w:val="24"/>
          <w:szCs w:val="24"/>
        </w:rPr>
        <w:t>edoch nicht unterschätzt werden:</w:t>
      </w:r>
    </w:p>
    <w:p w:rsidR="00A27BBE" w:rsidRPr="004C738A" w:rsidRDefault="00A27BBE" w:rsidP="00303D79">
      <w:pPr>
        <w:rPr>
          <w:rFonts w:ascii="Times New Roman" w:hAnsi="Times New Roman"/>
          <w:sz w:val="24"/>
          <w:szCs w:val="24"/>
        </w:rPr>
      </w:pPr>
    </w:p>
    <w:p w:rsidR="00A27BBE" w:rsidRPr="004C738A" w:rsidRDefault="00A27BBE" w:rsidP="00303D79">
      <w:pPr>
        <w:rPr>
          <w:rFonts w:ascii="Times New Roman" w:hAnsi="Times New Roman"/>
          <w:sz w:val="24"/>
          <w:szCs w:val="24"/>
        </w:rPr>
      </w:pPr>
      <w:r w:rsidRPr="004C738A">
        <w:rPr>
          <w:rFonts w:ascii="Times New Roman" w:hAnsi="Times New Roman"/>
          <w:sz w:val="24"/>
          <w:szCs w:val="24"/>
        </w:rPr>
        <w:t>Der Gerichtshof der Europäischen Union hat im Falle Ungarns in einem von der EU-Kommission angestrengten Vertragsverletzungsverfahren etwa die Zwangspensionierung der Richter untersagt.</w:t>
      </w:r>
      <w:r w:rsidRPr="004C738A">
        <w:rPr>
          <w:rFonts w:ascii="Times New Roman" w:hAnsi="Times New Roman"/>
          <w:sz w:val="24"/>
          <w:szCs w:val="24"/>
          <w:vertAlign w:val="superscript"/>
        </w:rPr>
        <w:footnoteReference w:id="85"/>
      </w:r>
      <w:r w:rsidRPr="004C738A">
        <w:rPr>
          <w:rFonts w:ascii="Times New Roman" w:hAnsi="Times New Roman"/>
          <w:sz w:val="24"/>
          <w:szCs w:val="24"/>
        </w:rPr>
        <w:t xml:space="preserve"> Er könnte – auf Vorlage nationaler Gerichte – </w:t>
      </w:r>
      <w:r w:rsidR="00330F88" w:rsidRPr="004C738A">
        <w:rPr>
          <w:rFonts w:ascii="Times New Roman" w:hAnsi="Times New Roman"/>
          <w:sz w:val="24"/>
          <w:szCs w:val="24"/>
        </w:rPr>
        <w:t xml:space="preserve">auch </w:t>
      </w:r>
      <w:r w:rsidRPr="004C738A">
        <w:rPr>
          <w:rFonts w:ascii="Times New Roman" w:hAnsi="Times New Roman"/>
          <w:sz w:val="24"/>
          <w:szCs w:val="24"/>
        </w:rPr>
        <w:t>den Grundsatz gege</w:t>
      </w:r>
      <w:r w:rsidRPr="004C738A">
        <w:rPr>
          <w:rFonts w:ascii="Times New Roman" w:hAnsi="Times New Roman"/>
          <w:sz w:val="24"/>
          <w:szCs w:val="24"/>
        </w:rPr>
        <w:t>n</w:t>
      </w:r>
      <w:r w:rsidRPr="004C738A">
        <w:rPr>
          <w:rFonts w:ascii="Times New Roman" w:hAnsi="Times New Roman"/>
          <w:sz w:val="24"/>
          <w:szCs w:val="24"/>
        </w:rPr>
        <w:t xml:space="preserve">seitigen Vertrauens mit Blick auf </w:t>
      </w:r>
      <w:r w:rsidR="00330F88" w:rsidRPr="004C738A">
        <w:rPr>
          <w:rFonts w:ascii="Times New Roman" w:hAnsi="Times New Roman"/>
          <w:sz w:val="24"/>
          <w:szCs w:val="24"/>
        </w:rPr>
        <w:t xml:space="preserve">bestimmte </w:t>
      </w:r>
      <w:r w:rsidRPr="004C738A">
        <w:rPr>
          <w:rFonts w:ascii="Times New Roman" w:hAnsi="Times New Roman"/>
          <w:sz w:val="24"/>
          <w:szCs w:val="24"/>
        </w:rPr>
        <w:t xml:space="preserve">Mitgliedstaaten </w:t>
      </w:r>
      <w:r w:rsidR="00493A87" w:rsidRPr="004C738A">
        <w:rPr>
          <w:rFonts w:ascii="Times New Roman" w:hAnsi="Times New Roman"/>
          <w:sz w:val="24"/>
          <w:szCs w:val="24"/>
        </w:rPr>
        <w:t xml:space="preserve">der Sache nach </w:t>
      </w:r>
      <w:r w:rsidRPr="004C738A">
        <w:rPr>
          <w:rFonts w:ascii="Times New Roman" w:hAnsi="Times New Roman"/>
          <w:sz w:val="24"/>
          <w:szCs w:val="24"/>
        </w:rPr>
        <w:t xml:space="preserve">suspendieren, wie er </w:t>
      </w:r>
      <w:r w:rsidR="00330F88" w:rsidRPr="004C738A">
        <w:rPr>
          <w:rFonts w:ascii="Times New Roman" w:hAnsi="Times New Roman"/>
          <w:sz w:val="24"/>
          <w:szCs w:val="24"/>
        </w:rPr>
        <w:t>di</w:t>
      </w:r>
      <w:r w:rsidRPr="004C738A">
        <w:rPr>
          <w:rFonts w:ascii="Times New Roman" w:hAnsi="Times New Roman"/>
          <w:sz w:val="24"/>
          <w:szCs w:val="24"/>
        </w:rPr>
        <w:t xml:space="preserve">es etwa mit Blick auf die Überstellung von Asylbewerbern nach Griechenland getan </w:t>
      </w:r>
      <w:r w:rsidRPr="004C738A">
        <w:rPr>
          <w:rFonts w:ascii="Times New Roman" w:hAnsi="Times New Roman"/>
          <w:sz w:val="24"/>
          <w:szCs w:val="24"/>
        </w:rPr>
        <w:lastRenderedPageBreak/>
        <w:t>hat</w:t>
      </w:r>
      <w:r w:rsidR="00493A87" w:rsidRPr="004C738A">
        <w:rPr>
          <w:rFonts w:ascii="Times New Roman" w:hAnsi="Times New Roman"/>
          <w:sz w:val="24"/>
          <w:szCs w:val="24"/>
        </w:rPr>
        <w:t>,</w:t>
      </w:r>
      <w:r w:rsidRPr="004C738A">
        <w:rPr>
          <w:rStyle w:val="Funotenzeichen"/>
          <w:rFonts w:ascii="Times New Roman" w:hAnsi="Times New Roman" w:cs="Times New Roman"/>
          <w:sz w:val="24"/>
          <w:szCs w:val="24"/>
        </w:rPr>
        <w:footnoteReference w:id="86"/>
      </w:r>
      <w:r w:rsidR="00493A87" w:rsidRPr="004C738A">
        <w:rPr>
          <w:rFonts w:ascii="Times New Roman" w:hAnsi="Times New Roman"/>
          <w:sz w:val="24"/>
          <w:szCs w:val="24"/>
        </w:rPr>
        <w:t xml:space="preserve"> und </w:t>
      </w:r>
      <w:r w:rsidR="00330F88" w:rsidRPr="004C738A">
        <w:rPr>
          <w:rFonts w:ascii="Times New Roman" w:hAnsi="Times New Roman"/>
          <w:sz w:val="24"/>
          <w:szCs w:val="24"/>
        </w:rPr>
        <w:t xml:space="preserve">ihre </w:t>
      </w:r>
      <w:r w:rsidR="00493A87" w:rsidRPr="004C738A">
        <w:rPr>
          <w:rFonts w:ascii="Times New Roman" w:hAnsi="Times New Roman"/>
          <w:sz w:val="24"/>
          <w:szCs w:val="24"/>
        </w:rPr>
        <w:t xml:space="preserve">Einbindung </w:t>
      </w:r>
      <w:r w:rsidR="00330F88" w:rsidRPr="004C738A">
        <w:rPr>
          <w:rFonts w:ascii="Times New Roman" w:hAnsi="Times New Roman"/>
          <w:sz w:val="24"/>
          <w:szCs w:val="24"/>
        </w:rPr>
        <w:t xml:space="preserve">in den Raum der Freiheit, der Sicherheit und des Rechts </w:t>
      </w:r>
      <w:r w:rsidR="00493A87" w:rsidRPr="004C738A">
        <w:rPr>
          <w:rFonts w:ascii="Times New Roman" w:hAnsi="Times New Roman"/>
          <w:sz w:val="24"/>
          <w:szCs w:val="24"/>
        </w:rPr>
        <w:t>zum E</w:t>
      </w:r>
      <w:r w:rsidR="00493A87" w:rsidRPr="004C738A">
        <w:rPr>
          <w:rFonts w:ascii="Times New Roman" w:hAnsi="Times New Roman"/>
          <w:sz w:val="24"/>
          <w:szCs w:val="24"/>
        </w:rPr>
        <w:t>r</w:t>
      </w:r>
      <w:r w:rsidR="00493A87" w:rsidRPr="004C738A">
        <w:rPr>
          <w:rFonts w:ascii="Times New Roman" w:hAnsi="Times New Roman"/>
          <w:sz w:val="24"/>
          <w:szCs w:val="24"/>
        </w:rPr>
        <w:t>liegen bringen.</w:t>
      </w:r>
      <w:r w:rsidR="00330F88" w:rsidRPr="004C738A">
        <w:rPr>
          <w:rFonts w:ascii="Times New Roman" w:hAnsi="Times New Roman"/>
          <w:sz w:val="24"/>
          <w:szCs w:val="24"/>
        </w:rPr>
        <w:t xml:space="preserve"> Denkbar wäre auch, dass e</w:t>
      </w:r>
      <w:r w:rsidR="00493A87" w:rsidRPr="004C738A">
        <w:rPr>
          <w:rFonts w:ascii="Times New Roman" w:hAnsi="Times New Roman"/>
          <w:sz w:val="24"/>
          <w:szCs w:val="24"/>
        </w:rPr>
        <w:t>r gleichgeschalteten Verfassungs- und Obergeric</w:t>
      </w:r>
      <w:r w:rsidR="00493A87" w:rsidRPr="004C738A">
        <w:rPr>
          <w:rFonts w:ascii="Times New Roman" w:hAnsi="Times New Roman"/>
          <w:sz w:val="24"/>
          <w:szCs w:val="24"/>
        </w:rPr>
        <w:t>h</w:t>
      </w:r>
      <w:r w:rsidR="00493A87" w:rsidRPr="004C738A">
        <w:rPr>
          <w:rFonts w:ascii="Times New Roman" w:hAnsi="Times New Roman"/>
          <w:sz w:val="24"/>
          <w:szCs w:val="24"/>
        </w:rPr>
        <w:t>ten sub specie Art. 267 AEUV die Gerichtsqualität abspr</w:t>
      </w:r>
      <w:r w:rsidR="00371DD4" w:rsidRPr="004C738A">
        <w:rPr>
          <w:rFonts w:ascii="Times New Roman" w:hAnsi="Times New Roman"/>
          <w:sz w:val="24"/>
          <w:szCs w:val="24"/>
        </w:rPr>
        <w:t>i</w:t>
      </w:r>
      <w:r w:rsidR="00493A87" w:rsidRPr="004C738A">
        <w:rPr>
          <w:rFonts w:ascii="Times New Roman" w:hAnsi="Times New Roman"/>
          <w:sz w:val="24"/>
          <w:szCs w:val="24"/>
        </w:rPr>
        <w:t>ch</w:t>
      </w:r>
      <w:r w:rsidR="00371DD4" w:rsidRPr="004C738A">
        <w:rPr>
          <w:rFonts w:ascii="Times New Roman" w:hAnsi="Times New Roman"/>
          <w:sz w:val="24"/>
          <w:szCs w:val="24"/>
        </w:rPr>
        <w:t>t</w:t>
      </w:r>
      <w:r w:rsidR="00493A87" w:rsidRPr="004C738A">
        <w:rPr>
          <w:rFonts w:ascii="Times New Roman" w:hAnsi="Times New Roman"/>
          <w:sz w:val="24"/>
          <w:szCs w:val="24"/>
        </w:rPr>
        <w:t>.</w:t>
      </w:r>
      <w:r w:rsidR="00493A87" w:rsidRPr="004C738A">
        <w:rPr>
          <w:rStyle w:val="Funotenzeichen"/>
          <w:rFonts w:ascii="Times New Roman" w:hAnsi="Times New Roman" w:cs="Times New Roman"/>
          <w:sz w:val="24"/>
          <w:szCs w:val="24"/>
        </w:rPr>
        <w:footnoteReference w:id="87"/>
      </w:r>
      <w:r w:rsidR="00493A87" w:rsidRPr="004C738A">
        <w:rPr>
          <w:rFonts w:ascii="Times New Roman" w:hAnsi="Times New Roman"/>
          <w:sz w:val="24"/>
          <w:szCs w:val="24"/>
        </w:rPr>
        <w:t xml:space="preserve"> </w:t>
      </w:r>
    </w:p>
    <w:p w:rsidR="00007BF1" w:rsidRDefault="00007BF1" w:rsidP="00303D79">
      <w:pPr>
        <w:rPr>
          <w:rFonts w:ascii="Times New Roman" w:hAnsi="Times New Roman"/>
          <w:sz w:val="24"/>
          <w:szCs w:val="24"/>
        </w:rPr>
      </w:pPr>
    </w:p>
    <w:p w:rsidR="002B6EF2" w:rsidRPr="004C738A" w:rsidRDefault="00493A87" w:rsidP="00303D79">
      <w:pPr>
        <w:rPr>
          <w:rFonts w:ascii="Times New Roman" w:hAnsi="Times New Roman"/>
          <w:sz w:val="24"/>
          <w:szCs w:val="24"/>
        </w:rPr>
      </w:pPr>
      <w:r w:rsidRPr="004C738A">
        <w:rPr>
          <w:rFonts w:ascii="Times New Roman" w:hAnsi="Times New Roman"/>
          <w:sz w:val="24"/>
          <w:szCs w:val="24"/>
        </w:rPr>
        <w:t>D</w:t>
      </w:r>
      <w:r w:rsidR="00A27BBE" w:rsidRPr="004C738A">
        <w:rPr>
          <w:rFonts w:ascii="Times New Roman" w:hAnsi="Times New Roman"/>
          <w:sz w:val="24"/>
          <w:szCs w:val="24"/>
        </w:rPr>
        <w:t>er Europäische Gerichtshof für Menschenrechte</w:t>
      </w:r>
      <w:r w:rsidRPr="004C738A">
        <w:rPr>
          <w:rFonts w:ascii="Times New Roman" w:hAnsi="Times New Roman"/>
          <w:sz w:val="24"/>
          <w:szCs w:val="24"/>
        </w:rPr>
        <w:t xml:space="preserve"> hat bekanntlich</w:t>
      </w:r>
      <w:r w:rsidR="00A27BBE" w:rsidRPr="004C738A">
        <w:rPr>
          <w:rFonts w:ascii="Times New Roman" w:hAnsi="Times New Roman"/>
          <w:sz w:val="24"/>
          <w:szCs w:val="24"/>
        </w:rPr>
        <w:t xml:space="preserve"> die Entlassung des Präs</w:t>
      </w:r>
      <w:r w:rsidR="00A27BBE" w:rsidRPr="004C738A">
        <w:rPr>
          <w:rFonts w:ascii="Times New Roman" w:hAnsi="Times New Roman"/>
          <w:sz w:val="24"/>
          <w:szCs w:val="24"/>
        </w:rPr>
        <w:t>i</w:t>
      </w:r>
      <w:r w:rsidR="00A27BBE" w:rsidRPr="004C738A">
        <w:rPr>
          <w:rFonts w:ascii="Times New Roman" w:hAnsi="Times New Roman"/>
          <w:sz w:val="24"/>
          <w:szCs w:val="24"/>
        </w:rPr>
        <w:t>denten des Obersten Gerichts</w:t>
      </w:r>
      <w:r w:rsidRPr="004C738A">
        <w:rPr>
          <w:rFonts w:ascii="Times New Roman" w:hAnsi="Times New Roman"/>
          <w:sz w:val="24"/>
          <w:szCs w:val="24"/>
        </w:rPr>
        <w:t xml:space="preserve"> in Ungarn</w:t>
      </w:r>
      <w:r w:rsidR="00A27BBE" w:rsidRPr="004C738A">
        <w:rPr>
          <w:rFonts w:ascii="Times New Roman" w:hAnsi="Times New Roman"/>
          <w:sz w:val="24"/>
          <w:szCs w:val="24"/>
        </w:rPr>
        <w:t xml:space="preserve"> beanstandet</w:t>
      </w:r>
      <w:r w:rsidRPr="004C738A">
        <w:rPr>
          <w:rFonts w:ascii="Times New Roman" w:hAnsi="Times New Roman"/>
          <w:sz w:val="24"/>
          <w:szCs w:val="24"/>
        </w:rPr>
        <w:t xml:space="preserve"> und damit, soweit ersichtlich, Erfolg gehabt</w:t>
      </w:r>
      <w:r w:rsidR="00A27BBE" w:rsidRPr="004C738A">
        <w:rPr>
          <w:rFonts w:ascii="Times New Roman" w:hAnsi="Times New Roman"/>
          <w:sz w:val="24"/>
          <w:szCs w:val="24"/>
        </w:rPr>
        <w:t>.</w:t>
      </w:r>
      <w:r w:rsidR="00A27BBE" w:rsidRPr="004C738A">
        <w:rPr>
          <w:rFonts w:ascii="Times New Roman" w:hAnsi="Times New Roman"/>
          <w:sz w:val="24"/>
          <w:szCs w:val="24"/>
          <w:vertAlign w:val="superscript"/>
        </w:rPr>
        <w:footnoteReference w:id="88"/>
      </w:r>
      <w:r w:rsidR="00A27BBE" w:rsidRPr="004C738A">
        <w:rPr>
          <w:rFonts w:ascii="Times New Roman" w:hAnsi="Times New Roman"/>
          <w:sz w:val="24"/>
          <w:szCs w:val="24"/>
        </w:rPr>
        <w:t xml:space="preserve"> </w:t>
      </w:r>
      <w:r w:rsidR="00AF6BA3" w:rsidRPr="004C738A">
        <w:rPr>
          <w:rFonts w:ascii="Times New Roman" w:hAnsi="Times New Roman"/>
          <w:sz w:val="24"/>
          <w:szCs w:val="24"/>
        </w:rPr>
        <w:t>Er könnte im Falle eines systematischen Umbaus</w:t>
      </w:r>
      <w:r w:rsidR="006A6E07" w:rsidRPr="004C738A">
        <w:rPr>
          <w:rFonts w:ascii="Times New Roman" w:hAnsi="Times New Roman"/>
          <w:sz w:val="24"/>
          <w:szCs w:val="24"/>
        </w:rPr>
        <w:t xml:space="preserve"> auch</w:t>
      </w:r>
      <w:r w:rsidR="00AF6BA3" w:rsidRPr="004C738A">
        <w:rPr>
          <w:rFonts w:ascii="Times New Roman" w:hAnsi="Times New Roman"/>
          <w:sz w:val="24"/>
          <w:szCs w:val="24"/>
        </w:rPr>
        <w:t xml:space="preserve"> Individualbeschwerden g</w:t>
      </w:r>
      <w:r w:rsidR="00AF6BA3" w:rsidRPr="004C738A">
        <w:rPr>
          <w:rFonts w:ascii="Times New Roman" w:hAnsi="Times New Roman"/>
          <w:sz w:val="24"/>
          <w:szCs w:val="24"/>
        </w:rPr>
        <w:t>e</w:t>
      </w:r>
      <w:r w:rsidR="00AF6BA3" w:rsidRPr="004C738A">
        <w:rPr>
          <w:rFonts w:ascii="Times New Roman" w:hAnsi="Times New Roman"/>
          <w:sz w:val="24"/>
          <w:szCs w:val="24"/>
        </w:rPr>
        <w:t xml:space="preserve">gen den betreffenden Staat ungeachtet der Art. </w:t>
      </w:r>
      <w:r w:rsidR="00DF0DC4" w:rsidRPr="004C738A">
        <w:rPr>
          <w:rFonts w:ascii="Times New Roman" w:hAnsi="Times New Roman"/>
          <w:sz w:val="24"/>
          <w:szCs w:val="24"/>
        </w:rPr>
        <w:t>34</w:t>
      </w:r>
      <w:r w:rsidR="00DF0DC4">
        <w:rPr>
          <w:rFonts w:ascii="Times New Roman" w:hAnsi="Times New Roman"/>
          <w:sz w:val="24"/>
          <w:szCs w:val="24"/>
        </w:rPr>
        <w:t> </w:t>
      </w:r>
      <w:r w:rsidR="00AF6BA3" w:rsidRPr="004C738A">
        <w:rPr>
          <w:rFonts w:ascii="Times New Roman" w:hAnsi="Times New Roman"/>
          <w:sz w:val="24"/>
          <w:szCs w:val="24"/>
        </w:rPr>
        <w:t>f. EMRK ohne weiteres zulassen.</w:t>
      </w:r>
      <w:r w:rsidR="006A6E07" w:rsidRPr="004C738A">
        <w:rPr>
          <w:rFonts w:ascii="Times New Roman" w:hAnsi="Times New Roman"/>
          <w:sz w:val="24"/>
          <w:szCs w:val="24"/>
        </w:rPr>
        <w:t xml:space="preserve"> Denn das Erfordernis der Rechtwegerschöpfung findet in </w:t>
      </w:r>
      <w:r w:rsidR="00DF0DC4">
        <w:rPr>
          <w:rFonts w:ascii="Times New Roman" w:hAnsi="Times New Roman"/>
          <w:sz w:val="24"/>
          <w:szCs w:val="24"/>
        </w:rPr>
        <w:t xml:space="preserve">den </w:t>
      </w:r>
      <w:r w:rsidR="006A6E07" w:rsidRPr="004C738A">
        <w:rPr>
          <w:rFonts w:ascii="Times New Roman" w:hAnsi="Times New Roman"/>
          <w:sz w:val="24"/>
          <w:szCs w:val="24"/>
        </w:rPr>
        <w:t>Fällen keine Anwendung, in denen eine die Konvention systematisch verletzende Staatspraxis nachgewiesen ist, so dass die zur Ve</w:t>
      </w:r>
      <w:r w:rsidR="006A6E07" w:rsidRPr="004C738A">
        <w:rPr>
          <w:rFonts w:ascii="Times New Roman" w:hAnsi="Times New Roman"/>
          <w:sz w:val="24"/>
          <w:szCs w:val="24"/>
        </w:rPr>
        <w:t>r</w:t>
      </w:r>
      <w:r w:rsidR="006A6E07" w:rsidRPr="004C738A">
        <w:rPr>
          <w:rFonts w:ascii="Times New Roman" w:hAnsi="Times New Roman"/>
          <w:sz w:val="24"/>
          <w:szCs w:val="24"/>
        </w:rPr>
        <w:t>fügung stehenden Rechtsbehelfe aussichtslos oder nicht effektiv sind.</w:t>
      </w:r>
      <w:r w:rsidR="006A6E07" w:rsidRPr="004C738A">
        <w:rPr>
          <w:rStyle w:val="Funotenzeichen"/>
          <w:rFonts w:ascii="Times New Roman" w:hAnsi="Times New Roman" w:cs="Times New Roman"/>
          <w:sz w:val="24"/>
          <w:szCs w:val="24"/>
        </w:rPr>
        <w:footnoteReference w:id="89"/>
      </w:r>
    </w:p>
    <w:p w:rsidR="006A6E07" w:rsidRPr="004C738A" w:rsidRDefault="006A6E07" w:rsidP="00303D79">
      <w:pPr>
        <w:rPr>
          <w:rFonts w:ascii="Times New Roman" w:hAnsi="Times New Roman"/>
          <w:sz w:val="24"/>
          <w:szCs w:val="24"/>
        </w:rPr>
      </w:pPr>
      <w:r w:rsidRPr="004C738A">
        <w:rPr>
          <w:rFonts w:ascii="Times New Roman" w:hAnsi="Times New Roman"/>
          <w:sz w:val="24"/>
          <w:szCs w:val="24"/>
        </w:rPr>
        <w:t>Auch die nationalen (Verfassungs-)Gerichte sind im Rahmen ihrer Zuständigkeiten gefordert, beim Vollzug (</w:t>
      </w:r>
      <w:r w:rsidRPr="00260FED">
        <w:rPr>
          <w:rFonts w:ascii="Times New Roman" w:hAnsi="Times New Roman"/>
          <w:sz w:val="24"/>
          <w:szCs w:val="24"/>
        </w:rPr>
        <w:t>Europäischer</w:t>
      </w:r>
      <w:r w:rsidRPr="004C738A">
        <w:rPr>
          <w:rFonts w:ascii="Times New Roman" w:hAnsi="Times New Roman"/>
          <w:sz w:val="24"/>
          <w:szCs w:val="24"/>
        </w:rPr>
        <w:t>) Haftbefehle und Auslieferungen, bei der Überstellung von Asylbewerbern im Rahmen der Dublin III-Verordnung</w:t>
      </w:r>
      <w:r w:rsidRPr="004C738A">
        <w:rPr>
          <w:rStyle w:val="Funotenzeichen"/>
          <w:rFonts w:ascii="Times New Roman" w:hAnsi="Times New Roman" w:cs="Times New Roman"/>
          <w:sz w:val="24"/>
          <w:szCs w:val="24"/>
        </w:rPr>
        <w:footnoteReference w:id="90"/>
      </w:r>
      <w:r w:rsidRPr="004C738A">
        <w:rPr>
          <w:rFonts w:ascii="Times New Roman" w:hAnsi="Times New Roman"/>
          <w:sz w:val="24"/>
          <w:szCs w:val="24"/>
        </w:rPr>
        <w:t xml:space="preserve"> </w:t>
      </w:r>
      <w:r w:rsidR="002A5340" w:rsidRPr="004C738A">
        <w:rPr>
          <w:rFonts w:ascii="Times New Roman" w:hAnsi="Times New Roman"/>
          <w:sz w:val="24"/>
          <w:szCs w:val="24"/>
        </w:rPr>
        <w:t xml:space="preserve">sowie in allen anderen Fällen mit transnationalem Bezug ihren Beitrag zur Bewahrung eines den Mindestanforderungen des Grundgesetzes entsprechenden europäischen Wertekanons zu leisten. Nach Art. 23 Abs. </w:t>
      </w:r>
      <w:r w:rsidR="00DF0DC4">
        <w:rPr>
          <w:rFonts w:ascii="Times New Roman" w:hAnsi="Times New Roman"/>
          <w:sz w:val="24"/>
          <w:szCs w:val="24"/>
        </w:rPr>
        <w:t> </w:t>
      </w:r>
      <w:r w:rsidR="002A5340" w:rsidRPr="004C738A">
        <w:rPr>
          <w:rFonts w:ascii="Times New Roman" w:hAnsi="Times New Roman"/>
          <w:sz w:val="24"/>
          <w:szCs w:val="24"/>
        </w:rPr>
        <w:t xml:space="preserve">1 </w:t>
      </w:r>
      <w:r w:rsidR="00DF0DC4" w:rsidRPr="004C738A">
        <w:rPr>
          <w:rFonts w:ascii="Times New Roman" w:hAnsi="Times New Roman"/>
          <w:sz w:val="24"/>
          <w:szCs w:val="24"/>
        </w:rPr>
        <w:t>Satz</w:t>
      </w:r>
      <w:r w:rsidR="00DF0DC4">
        <w:rPr>
          <w:rFonts w:ascii="Times New Roman" w:hAnsi="Times New Roman"/>
          <w:sz w:val="24"/>
          <w:szCs w:val="24"/>
        </w:rPr>
        <w:t> </w:t>
      </w:r>
      <w:r w:rsidR="002A5340" w:rsidRPr="004C738A">
        <w:rPr>
          <w:rFonts w:ascii="Times New Roman" w:hAnsi="Times New Roman"/>
          <w:sz w:val="24"/>
          <w:szCs w:val="24"/>
        </w:rPr>
        <w:t>1 GG darf sich die Bundesrepublik Deutschland nämlich nur an der Europäischen Union beteiligen, wenn diese demokratischen, rechtsstaatlichen, sozialen und föderativen Grundsä</w:t>
      </w:r>
      <w:r w:rsidR="002A5340" w:rsidRPr="004C738A">
        <w:rPr>
          <w:rFonts w:ascii="Times New Roman" w:hAnsi="Times New Roman"/>
          <w:sz w:val="24"/>
          <w:szCs w:val="24"/>
        </w:rPr>
        <w:t>t</w:t>
      </w:r>
      <w:r w:rsidR="002A5340" w:rsidRPr="004C738A">
        <w:rPr>
          <w:rFonts w:ascii="Times New Roman" w:hAnsi="Times New Roman"/>
          <w:sz w:val="24"/>
          <w:szCs w:val="24"/>
        </w:rPr>
        <w:t>zen und dem Grundsatz der Subsidiarität verpflichtet ist und eine</w:t>
      </w:r>
      <w:r w:rsidR="00FD43B9" w:rsidRPr="004C738A">
        <w:rPr>
          <w:rFonts w:ascii="Times New Roman" w:hAnsi="Times New Roman"/>
          <w:sz w:val="24"/>
          <w:szCs w:val="24"/>
        </w:rPr>
        <w:t>n</w:t>
      </w:r>
      <w:r w:rsidR="002A5340" w:rsidRPr="004C738A">
        <w:rPr>
          <w:rFonts w:ascii="Times New Roman" w:hAnsi="Times New Roman"/>
          <w:sz w:val="24"/>
          <w:szCs w:val="24"/>
        </w:rPr>
        <w:t xml:space="preserve"> dem Grundgesetz im w</w:t>
      </w:r>
      <w:r w:rsidR="002A5340" w:rsidRPr="004C738A">
        <w:rPr>
          <w:rFonts w:ascii="Times New Roman" w:hAnsi="Times New Roman"/>
          <w:sz w:val="24"/>
          <w:szCs w:val="24"/>
        </w:rPr>
        <w:t>e</w:t>
      </w:r>
      <w:r w:rsidR="002A5340" w:rsidRPr="004C738A">
        <w:rPr>
          <w:rFonts w:ascii="Times New Roman" w:hAnsi="Times New Roman"/>
          <w:sz w:val="24"/>
          <w:szCs w:val="24"/>
        </w:rPr>
        <w:t xml:space="preserve">sentlichen vergleichbaren Grundrechtsschutz gewährleistet. Unter veränderten Umständen kann diese – bislang kaum beachtete </w:t>
      </w:r>
      <w:r w:rsidR="00DF0DC4">
        <w:rPr>
          <w:rFonts w:ascii="Times New Roman" w:hAnsi="Times New Roman"/>
          <w:sz w:val="24"/>
          <w:szCs w:val="24"/>
        </w:rPr>
        <w:t>–</w:t>
      </w:r>
      <w:r w:rsidR="00DF0DC4" w:rsidRPr="004C738A">
        <w:rPr>
          <w:rFonts w:ascii="Times New Roman" w:hAnsi="Times New Roman"/>
          <w:sz w:val="24"/>
          <w:szCs w:val="24"/>
        </w:rPr>
        <w:t xml:space="preserve"> </w:t>
      </w:r>
      <w:r w:rsidR="002A5340" w:rsidRPr="004C738A">
        <w:rPr>
          <w:rFonts w:ascii="Times New Roman" w:hAnsi="Times New Roman"/>
          <w:sz w:val="24"/>
          <w:szCs w:val="24"/>
        </w:rPr>
        <w:t>Struktursicherungsklausel rechtliche Relevanz erha</w:t>
      </w:r>
      <w:r w:rsidR="002A5340" w:rsidRPr="004C738A">
        <w:rPr>
          <w:rFonts w:ascii="Times New Roman" w:hAnsi="Times New Roman"/>
          <w:sz w:val="24"/>
          <w:szCs w:val="24"/>
        </w:rPr>
        <w:t>l</w:t>
      </w:r>
      <w:r w:rsidR="002A5340" w:rsidRPr="004C738A">
        <w:rPr>
          <w:rFonts w:ascii="Times New Roman" w:hAnsi="Times New Roman"/>
          <w:sz w:val="24"/>
          <w:szCs w:val="24"/>
        </w:rPr>
        <w:t>ten.</w:t>
      </w:r>
      <w:r w:rsidRPr="004C738A">
        <w:rPr>
          <w:rFonts w:ascii="Times New Roman" w:hAnsi="Times New Roman"/>
          <w:sz w:val="24"/>
          <w:szCs w:val="24"/>
        </w:rPr>
        <w:t xml:space="preserve"> </w:t>
      </w:r>
    </w:p>
    <w:p w:rsidR="00A640CF" w:rsidRPr="004C738A" w:rsidRDefault="00A640CF" w:rsidP="00A640CF">
      <w:pPr>
        <w:rPr>
          <w:rFonts w:ascii="Times New Roman" w:eastAsiaTheme="minorHAnsi" w:hAnsi="Times New Roman"/>
          <w:sz w:val="24"/>
          <w:szCs w:val="24"/>
          <w:lang w:eastAsia="en-US"/>
        </w:rPr>
      </w:pPr>
    </w:p>
    <w:p w:rsidR="00A640CF" w:rsidRPr="004C738A" w:rsidRDefault="002A5340" w:rsidP="00303D79">
      <w:pPr>
        <w:pStyle w:val="berschrift2"/>
        <w:rPr>
          <w:rFonts w:ascii="Times New Roman" w:eastAsiaTheme="minorHAnsi" w:hAnsi="Times New Roman" w:cs="Times New Roman"/>
          <w:sz w:val="24"/>
          <w:szCs w:val="24"/>
          <w:lang w:eastAsia="en-US"/>
        </w:rPr>
      </w:pPr>
      <w:bookmarkStart w:id="20" w:name="_Toc498362314"/>
      <w:r w:rsidRPr="004C738A">
        <w:rPr>
          <w:rFonts w:ascii="Times New Roman" w:eastAsiaTheme="minorHAnsi" w:hAnsi="Times New Roman" w:cs="Times New Roman"/>
          <w:sz w:val="24"/>
          <w:szCs w:val="24"/>
          <w:lang w:eastAsia="en-US"/>
        </w:rPr>
        <w:t>2. Informelle Instrumente</w:t>
      </w:r>
      <w:bookmarkEnd w:id="20"/>
    </w:p>
    <w:p w:rsidR="00366D4E" w:rsidRPr="004C738A" w:rsidRDefault="00303D79" w:rsidP="00EE0BD2">
      <w:pPr>
        <w:rPr>
          <w:rFonts w:ascii="Times New Roman" w:hAnsi="Times New Roman"/>
          <w:sz w:val="24"/>
          <w:szCs w:val="24"/>
          <w:lang w:eastAsia="en-US"/>
        </w:rPr>
      </w:pPr>
      <w:r w:rsidRPr="004C738A">
        <w:rPr>
          <w:rFonts w:ascii="Times New Roman" w:hAnsi="Times New Roman"/>
          <w:sz w:val="24"/>
          <w:szCs w:val="24"/>
          <w:lang w:eastAsia="en-US"/>
        </w:rPr>
        <w:t>Vor allem der Verfassungsgerichtsverbund ist durch eine intensive informelle Kommunikat</w:t>
      </w:r>
      <w:r w:rsidRPr="004C738A">
        <w:rPr>
          <w:rFonts w:ascii="Times New Roman" w:hAnsi="Times New Roman"/>
          <w:sz w:val="24"/>
          <w:szCs w:val="24"/>
          <w:lang w:eastAsia="en-US"/>
        </w:rPr>
        <w:t>i</w:t>
      </w:r>
      <w:r w:rsidRPr="004C738A">
        <w:rPr>
          <w:rFonts w:ascii="Times New Roman" w:hAnsi="Times New Roman"/>
          <w:sz w:val="24"/>
          <w:szCs w:val="24"/>
          <w:lang w:eastAsia="en-US"/>
        </w:rPr>
        <w:t xml:space="preserve">on zwischen den Verfassungs- und Höchstgerichten gekennzeichnet, in </w:t>
      </w:r>
      <w:r w:rsidR="00FD43B9" w:rsidRPr="004C738A">
        <w:rPr>
          <w:rFonts w:ascii="Times New Roman" w:hAnsi="Times New Roman"/>
          <w:sz w:val="24"/>
          <w:szCs w:val="24"/>
          <w:lang w:eastAsia="en-US"/>
        </w:rPr>
        <w:t xml:space="preserve">die </w:t>
      </w:r>
      <w:r w:rsidRPr="004C738A">
        <w:rPr>
          <w:rFonts w:ascii="Times New Roman" w:hAnsi="Times New Roman"/>
          <w:sz w:val="24"/>
          <w:szCs w:val="24"/>
          <w:lang w:eastAsia="en-US"/>
        </w:rPr>
        <w:t>auch EuGH und EGMR eingebunden sind.</w:t>
      </w:r>
      <w:r w:rsidR="00782FD5">
        <w:rPr>
          <w:rFonts w:ascii="Times New Roman" w:hAnsi="Times New Roman"/>
          <w:sz w:val="24"/>
          <w:szCs w:val="24"/>
          <w:lang w:eastAsia="en-US"/>
        </w:rPr>
        <w:t xml:space="preserve"> </w:t>
      </w:r>
      <w:r w:rsidRPr="004C738A">
        <w:rPr>
          <w:rFonts w:ascii="Times New Roman" w:hAnsi="Times New Roman"/>
          <w:sz w:val="24"/>
          <w:szCs w:val="24"/>
          <w:lang w:eastAsia="en-US"/>
        </w:rPr>
        <w:t xml:space="preserve">Viele Richter stehen in dauerhaftem und bisweilen </w:t>
      </w:r>
      <w:r w:rsidR="00782FD5">
        <w:rPr>
          <w:rFonts w:ascii="Times New Roman" w:hAnsi="Times New Roman"/>
          <w:sz w:val="24"/>
          <w:szCs w:val="24"/>
          <w:lang w:eastAsia="en-US"/>
        </w:rPr>
        <w:t>e</w:t>
      </w:r>
      <w:r w:rsidRPr="004C738A">
        <w:rPr>
          <w:rFonts w:ascii="Times New Roman" w:hAnsi="Times New Roman"/>
          <w:sz w:val="24"/>
          <w:szCs w:val="24"/>
          <w:lang w:eastAsia="en-US"/>
        </w:rPr>
        <w:t>ngem Kontakt mit Kollegen aus anderen Mitgliedstaaten. Nicht selten beschäftigen sie polyglotte, europ</w:t>
      </w:r>
      <w:r w:rsidRPr="004C738A">
        <w:rPr>
          <w:rFonts w:ascii="Times New Roman" w:hAnsi="Times New Roman"/>
          <w:sz w:val="24"/>
          <w:szCs w:val="24"/>
          <w:lang w:eastAsia="en-US"/>
        </w:rPr>
        <w:t>ä</w:t>
      </w:r>
      <w:r w:rsidRPr="004C738A">
        <w:rPr>
          <w:rFonts w:ascii="Times New Roman" w:hAnsi="Times New Roman"/>
          <w:sz w:val="24"/>
          <w:szCs w:val="24"/>
          <w:lang w:eastAsia="en-US"/>
        </w:rPr>
        <w:lastRenderedPageBreak/>
        <w:t>isch und international ausgebildete Mitarbeiter.</w:t>
      </w:r>
      <w:bookmarkStart w:id="21" w:name="_Ref426555244"/>
      <w:r w:rsidRPr="004C738A">
        <w:rPr>
          <w:rFonts w:ascii="Times New Roman" w:hAnsi="Times New Roman"/>
          <w:sz w:val="24"/>
          <w:szCs w:val="24"/>
          <w:vertAlign w:val="superscript"/>
          <w:lang w:eastAsia="en-US"/>
        </w:rPr>
        <w:footnoteReference w:id="91"/>
      </w:r>
      <w:bookmarkEnd w:id="21"/>
      <w:r w:rsidRPr="004C738A">
        <w:rPr>
          <w:rFonts w:ascii="Times New Roman" w:hAnsi="Times New Roman"/>
          <w:sz w:val="24"/>
          <w:szCs w:val="24"/>
          <w:lang w:eastAsia="en-US"/>
        </w:rPr>
        <w:t xml:space="preserve"> Regelmäßig informieren und beraten sich mit der Verfassungsgerichtsbarkeit betraute Richter heute auf Kongressen, bei Besuchen, per E-Mail,</w:t>
      </w:r>
      <w:r w:rsidRPr="004C738A">
        <w:rPr>
          <w:rFonts w:ascii="Times New Roman" w:hAnsi="Times New Roman"/>
          <w:sz w:val="24"/>
          <w:szCs w:val="24"/>
          <w:vertAlign w:val="superscript"/>
          <w:lang w:eastAsia="en-US"/>
        </w:rPr>
        <w:footnoteReference w:id="92"/>
      </w:r>
      <w:r w:rsidRPr="004C738A">
        <w:rPr>
          <w:rFonts w:ascii="Times New Roman" w:hAnsi="Times New Roman"/>
          <w:sz w:val="24"/>
          <w:szCs w:val="24"/>
          <w:lang w:eastAsia="en-US"/>
        </w:rPr>
        <w:t xml:space="preserve"> und es gibt zumindest anekdotische Evidenz für weitere Formen von informellen Kontakten zwischen Richtern verschiedener Gerichte.</w:t>
      </w:r>
      <w:bookmarkStart w:id="22" w:name="_Ref419994190"/>
      <w:r w:rsidRPr="004C738A">
        <w:rPr>
          <w:rFonts w:ascii="Times New Roman" w:hAnsi="Times New Roman"/>
          <w:sz w:val="24"/>
          <w:szCs w:val="24"/>
          <w:vertAlign w:val="superscript"/>
          <w:lang w:eastAsia="en-US"/>
        </w:rPr>
        <w:footnoteReference w:id="93"/>
      </w:r>
      <w:bookmarkEnd w:id="22"/>
      <w:r w:rsidRPr="004C738A">
        <w:rPr>
          <w:rFonts w:ascii="Times New Roman" w:hAnsi="Times New Roman"/>
          <w:sz w:val="24"/>
          <w:szCs w:val="24"/>
          <w:lang w:eastAsia="en-US"/>
        </w:rPr>
        <w:t xml:space="preserve"> Mitarbeiter werden zu längeren Au</w:t>
      </w:r>
      <w:r w:rsidRPr="004C738A">
        <w:rPr>
          <w:rFonts w:ascii="Times New Roman" w:hAnsi="Times New Roman"/>
          <w:sz w:val="24"/>
          <w:szCs w:val="24"/>
          <w:lang w:eastAsia="en-US"/>
        </w:rPr>
        <w:t>f</w:t>
      </w:r>
      <w:r w:rsidRPr="004C738A">
        <w:rPr>
          <w:rFonts w:ascii="Times New Roman" w:hAnsi="Times New Roman"/>
          <w:sz w:val="24"/>
          <w:szCs w:val="24"/>
          <w:lang w:eastAsia="en-US"/>
        </w:rPr>
        <w:t xml:space="preserve">enthalten an anderen Gerichten entsandt. </w:t>
      </w:r>
      <w:r w:rsidR="007B09F6" w:rsidRPr="004C738A">
        <w:rPr>
          <w:rFonts w:ascii="Times New Roman" w:hAnsi="Times New Roman"/>
          <w:sz w:val="24"/>
          <w:szCs w:val="24"/>
          <w:lang w:eastAsia="en-US"/>
        </w:rPr>
        <w:t xml:space="preserve">Daneben nehmen einzelne Verfassungsrichter an einem europäischen Diskurs auf wissenschaftlichen Tagungen und Kongressen teil, in denen sie Denkweisen und Linien der Rechtsprechung nicht nur in die wissenschaftliche und in die politische Diskussion tragen, sondern eben auch mit Vertretern anderer Verfassungsgerichte in einen Austausch treten. </w:t>
      </w:r>
      <w:r w:rsidR="00EE0BD2" w:rsidRPr="004C738A">
        <w:rPr>
          <w:rFonts w:ascii="Times New Roman" w:hAnsi="Times New Roman"/>
          <w:sz w:val="24"/>
          <w:szCs w:val="24"/>
          <w:lang w:eastAsia="en-US"/>
        </w:rPr>
        <w:t>D</w:t>
      </w:r>
      <w:r w:rsidR="007B09F6" w:rsidRPr="004C738A">
        <w:rPr>
          <w:rFonts w:ascii="Times New Roman" w:hAnsi="Times New Roman"/>
          <w:sz w:val="24"/>
          <w:szCs w:val="24"/>
          <w:lang w:eastAsia="en-US"/>
        </w:rPr>
        <w:t>ie heutige Praxis der Verfassungsgerichtsbarkeit</w:t>
      </w:r>
      <w:r w:rsidR="00EE0BD2" w:rsidRPr="004C738A">
        <w:rPr>
          <w:rFonts w:ascii="Times New Roman" w:hAnsi="Times New Roman"/>
          <w:sz w:val="24"/>
          <w:szCs w:val="24"/>
          <w:lang w:eastAsia="en-US"/>
        </w:rPr>
        <w:t xml:space="preserve"> ist – wie </w:t>
      </w:r>
      <w:r w:rsidR="00EE0BD2" w:rsidRPr="004C738A">
        <w:rPr>
          <w:rFonts w:ascii="Times New Roman" w:hAnsi="Times New Roman"/>
          <w:i/>
          <w:sz w:val="24"/>
          <w:szCs w:val="24"/>
          <w:lang w:eastAsia="en-US"/>
        </w:rPr>
        <w:t>Chri</w:t>
      </w:r>
      <w:r w:rsidR="00EE0BD2" w:rsidRPr="004C738A">
        <w:rPr>
          <w:rFonts w:ascii="Times New Roman" w:hAnsi="Times New Roman"/>
          <w:i/>
          <w:sz w:val="24"/>
          <w:szCs w:val="24"/>
          <w:lang w:eastAsia="en-US"/>
        </w:rPr>
        <w:t>s</w:t>
      </w:r>
      <w:r w:rsidR="00EE0BD2" w:rsidRPr="004C738A">
        <w:rPr>
          <w:rFonts w:ascii="Times New Roman" w:hAnsi="Times New Roman"/>
          <w:i/>
          <w:sz w:val="24"/>
          <w:szCs w:val="24"/>
          <w:lang w:eastAsia="en-US"/>
        </w:rPr>
        <w:t>toph Grabenwarter</w:t>
      </w:r>
      <w:r w:rsidR="00EE0BD2" w:rsidRPr="004C738A">
        <w:rPr>
          <w:rFonts w:ascii="Times New Roman" w:hAnsi="Times New Roman"/>
          <w:sz w:val="24"/>
          <w:szCs w:val="24"/>
          <w:lang w:eastAsia="en-US"/>
        </w:rPr>
        <w:t xml:space="preserve"> es formuliert hat – </w:t>
      </w:r>
      <w:r w:rsidR="007B09F6" w:rsidRPr="004C738A">
        <w:rPr>
          <w:rFonts w:ascii="Times New Roman" w:hAnsi="Times New Roman"/>
          <w:sz w:val="24"/>
          <w:szCs w:val="24"/>
          <w:lang w:eastAsia="en-US"/>
        </w:rPr>
        <w:t>nicht die isolierte Tätigkeit von Höchstrichtern, die eine klar abgegrenzte Rechtsschicht interpretativ zu erschließen und verbindlich zum Maßstab zu machen ha</w:t>
      </w:r>
      <w:r w:rsidR="00EE0BD2" w:rsidRPr="004C738A">
        <w:rPr>
          <w:rFonts w:ascii="Times New Roman" w:hAnsi="Times New Roman"/>
          <w:sz w:val="24"/>
          <w:szCs w:val="24"/>
          <w:lang w:eastAsia="en-US"/>
        </w:rPr>
        <w:t>t</w:t>
      </w:r>
      <w:r w:rsidR="007B09F6" w:rsidRPr="004C738A">
        <w:rPr>
          <w:rFonts w:ascii="Times New Roman" w:hAnsi="Times New Roman"/>
          <w:sz w:val="24"/>
          <w:szCs w:val="24"/>
          <w:lang w:eastAsia="en-US"/>
        </w:rPr>
        <w:t>. Vielmehr liegt ihr ein komplexer und integrativer Interpretations- und Recht</w:t>
      </w:r>
      <w:r w:rsidR="007B09F6" w:rsidRPr="004C738A">
        <w:rPr>
          <w:rFonts w:ascii="Times New Roman" w:hAnsi="Times New Roman"/>
          <w:sz w:val="24"/>
          <w:szCs w:val="24"/>
          <w:lang w:eastAsia="en-US"/>
        </w:rPr>
        <w:t>s</w:t>
      </w:r>
      <w:r w:rsidR="007B09F6" w:rsidRPr="004C738A">
        <w:rPr>
          <w:rFonts w:ascii="Times New Roman" w:hAnsi="Times New Roman"/>
          <w:sz w:val="24"/>
          <w:szCs w:val="24"/>
          <w:lang w:eastAsia="en-US"/>
        </w:rPr>
        <w:t>anwendungsvorgang zugrunde.</w:t>
      </w:r>
      <w:r w:rsidR="007B09F6" w:rsidRPr="004C738A">
        <w:rPr>
          <w:rFonts w:ascii="Times New Roman" w:hAnsi="Times New Roman"/>
          <w:sz w:val="24"/>
          <w:szCs w:val="24"/>
          <w:vertAlign w:val="superscript"/>
          <w:lang w:eastAsia="en-US"/>
        </w:rPr>
        <w:footnoteReference w:id="94"/>
      </w:r>
      <w:r w:rsidR="00EE0BD2" w:rsidRPr="004C738A">
        <w:rPr>
          <w:rFonts w:ascii="Times New Roman" w:hAnsi="Times New Roman"/>
          <w:sz w:val="24"/>
          <w:szCs w:val="24"/>
          <w:lang w:eastAsia="en-US"/>
        </w:rPr>
        <w:t xml:space="preserve"> </w:t>
      </w:r>
      <w:r w:rsidRPr="004C738A">
        <w:rPr>
          <w:rFonts w:ascii="Times New Roman" w:hAnsi="Times New Roman"/>
          <w:sz w:val="24"/>
          <w:szCs w:val="24"/>
          <w:lang w:eastAsia="en-US"/>
        </w:rPr>
        <w:t>Man kann diese Praxis soziologisch als Netzwerk, rechtlich als Verbund und methodisch als Rechtsvergleichung deuten.</w:t>
      </w:r>
      <w:r w:rsidR="007B09F6" w:rsidRPr="004C738A">
        <w:rPr>
          <w:rStyle w:val="Funotenzeichen"/>
          <w:rFonts w:ascii="Times New Roman" w:hAnsi="Times New Roman" w:cs="Times New Roman"/>
          <w:sz w:val="24"/>
          <w:szCs w:val="24"/>
          <w:lang w:eastAsia="en-US"/>
        </w:rPr>
        <w:footnoteReference w:id="95"/>
      </w:r>
      <w:r w:rsidRPr="004C738A">
        <w:rPr>
          <w:rFonts w:ascii="Times New Roman" w:hAnsi="Times New Roman"/>
          <w:sz w:val="24"/>
          <w:szCs w:val="24"/>
          <w:lang w:eastAsia="en-US"/>
        </w:rPr>
        <w:t xml:space="preserve"> </w:t>
      </w:r>
    </w:p>
    <w:p w:rsidR="00F320DF" w:rsidRPr="004C738A" w:rsidRDefault="00F320DF" w:rsidP="00EE0BD2">
      <w:pPr>
        <w:rPr>
          <w:rFonts w:ascii="Times New Roman" w:hAnsi="Times New Roman"/>
          <w:sz w:val="24"/>
          <w:szCs w:val="24"/>
          <w:lang w:eastAsia="en-US"/>
        </w:rPr>
      </w:pPr>
    </w:p>
    <w:p w:rsidR="00F320DF" w:rsidRPr="004C738A" w:rsidRDefault="00F320DF" w:rsidP="00F320DF">
      <w:pPr>
        <w:rPr>
          <w:rFonts w:ascii="Times New Roman" w:hAnsi="Times New Roman"/>
          <w:sz w:val="24"/>
          <w:szCs w:val="24"/>
          <w:lang w:eastAsia="en-US"/>
        </w:rPr>
      </w:pPr>
      <w:r w:rsidRPr="004C738A">
        <w:rPr>
          <w:rFonts w:ascii="Times New Roman" w:hAnsi="Times New Roman"/>
          <w:sz w:val="24"/>
          <w:szCs w:val="24"/>
          <w:lang w:eastAsia="en-US"/>
        </w:rPr>
        <w:t>Ein besonders wichtiges Forum ist insoweit die Konferenz der Europäischen Verfassungsg</w:t>
      </w:r>
      <w:r w:rsidRPr="004C738A">
        <w:rPr>
          <w:rFonts w:ascii="Times New Roman" w:hAnsi="Times New Roman"/>
          <w:sz w:val="24"/>
          <w:szCs w:val="24"/>
          <w:lang w:eastAsia="en-US"/>
        </w:rPr>
        <w:t>e</w:t>
      </w:r>
      <w:r w:rsidRPr="004C738A">
        <w:rPr>
          <w:rFonts w:ascii="Times New Roman" w:hAnsi="Times New Roman"/>
          <w:sz w:val="24"/>
          <w:szCs w:val="24"/>
          <w:lang w:eastAsia="en-US"/>
        </w:rPr>
        <w:t>richte. Sie geht auf das Jahr 1972 zurück und sollte zu Beginn vor allem die Verfassungsg</w:t>
      </w:r>
      <w:r w:rsidRPr="004C738A">
        <w:rPr>
          <w:rFonts w:ascii="Times New Roman" w:hAnsi="Times New Roman"/>
          <w:sz w:val="24"/>
          <w:szCs w:val="24"/>
          <w:lang w:eastAsia="en-US"/>
        </w:rPr>
        <w:t>e</w:t>
      </w:r>
      <w:r w:rsidRPr="004C738A">
        <w:rPr>
          <w:rFonts w:ascii="Times New Roman" w:hAnsi="Times New Roman"/>
          <w:sz w:val="24"/>
          <w:szCs w:val="24"/>
          <w:lang w:eastAsia="en-US"/>
        </w:rPr>
        <w:t>richtsbarkeit in den sozialistischen Ländern stärken.</w:t>
      </w:r>
      <w:r w:rsidRPr="004C738A">
        <w:rPr>
          <w:rFonts w:ascii="Times New Roman" w:hAnsi="Times New Roman"/>
          <w:sz w:val="24"/>
          <w:szCs w:val="24"/>
          <w:vertAlign w:val="superscript"/>
          <w:lang w:eastAsia="en-US"/>
        </w:rPr>
        <w:footnoteReference w:id="96"/>
      </w:r>
      <w:r w:rsidRPr="004C738A">
        <w:rPr>
          <w:rFonts w:ascii="Times New Roman" w:hAnsi="Times New Roman"/>
          <w:sz w:val="24"/>
          <w:szCs w:val="24"/>
          <w:lang w:eastAsia="en-US"/>
        </w:rPr>
        <w:t xml:space="preserve"> Zunächst erschöpfte sie sich in einem diplomatisch geprägten Erfahrungsaustausch. Dank der europäischen Integration repräsentiert sie heute ein Netzwerk, welches Institutionen mit verfassungsgerichtlichen Zuständigkeiten aus ganz Europa in einen inzwischen dichten Interaktionszusammenhang bringt. Der Kreis der vertretenen Gerichte umfasst auch Höchstgerichte wie Schweizer Bundesgericht oder den Hoge Rad der Niederlande.</w:t>
      </w:r>
      <w:r w:rsidRPr="004C738A">
        <w:rPr>
          <w:rStyle w:val="Funotenzeichen"/>
          <w:rFonts w:ascii="Times New Roman" w:hAnsi="Times New Roman" w:cs="Times New Roman"/>
          <w:sz w:val="24"/>
          <w:szCs w:val="24"/>
          <w:lang w:eastAsia="en-US"/>
        </w:rPr>
        <w:footnoteReference w:id="97"/>
      </w:r>
      <w:r w:rsidRPr="004C738A">
        <w:rPr>
          <w:rFonts w:ascii="Times New Roman" w:hAnsi="Times New Roman"/>
          <w:sz w:val="24"/>
          <w:szCs w:val="24"/>
          <w:lang w:eastAsia="en-US"/>
        </w:rPr>
        <w:t xml:space="preserve"> Zumindest in offiziellen Verlautbarungen hat diese Verbundbi</w:t>
      </w:r>
      <w:r w:rsidRPr="004C738A">
        <w:rPr>
          <w:rFonts w:ascii="Times New Roman" w:hAnsi="Times New Roman"/>
          <w:sz w:val="24"/>
          <w:szCs w:val="24"/>
          <w:lang w:eastAsia="en-US"/>
        </w:rPr>
        <w:t>l</w:t>
      </w:r>
      <w:r w:rsidRPr="004C738A">
        <w:rPr>
          <w:rFonts w:ascii="Times New Roman" w:hAnsi="Times New Roman"/>
          <w:sz w:val="24"/>
          <w:szCs w:val="24"/>
          <w:lang w:eastAsia="en-US"/>
        </w:rPr>
        <w:t>dung erhebliche Wirkkraft.</w:t>
      </w:r>
      <w:r w:rsidRPr="004C738A">
        <w:rPr>
          <w:rFonts w:ascii="Times New Roman" w:hAnsi="Times New Roman"/>
          <w:sz w:val="24"/>
          <w:szCs w:val="24"/>
          <w:vertAlign w:val="superscript"/>
          <w:lang w:eastAsia="en-US"/>
        </w:rPr>
        <w:footnoteReference w:id="98"/>
      </w:r>
      <w:r w:rsidR="00C24D00" w:rsidRPr="004C738A">
        <w:rPr>
          <w:rFonts w:ascii="Times New Roman" w:hAnsi="Times New Roman"/>
          <w:sz w:val="24"/>
          <w:szCs w:val="24"/>
          <w:lang w:eastAsia="en-US"/>
        </w:rPr>
        <w:t xml:space="preserve"> Im sogenannten „Sechser-Treffen“ existiert ein engeres Forum für die deutschsprachigen Verfassungsgerichte, welches neben den Verfassungsgerichten von </w:t>
      </w:r>
      <w:r w:rsidR="00C24D00" w:rsidRPr="004C738A">
        <w:rPr>
          <w:rFonts w:ascii="Times New Roman" w:hAnsi="Times New Roman"/>
          <w:sz w:val="24"/>
          <w:szCs w:val="24"/>
          <w:lang w:eastAsia="en-US"/>
        </w:rPr>
        <w:lastRenderedPageBreak/>
        <w:t>Deutschland und Österreich, den Staatsgerichtshof des Fürstentums Liechtenstein, das Schweizer Bundesgericht sowie EGMR und EuGH umfasst. Mitunter werden</w:t>
      </w:r>
      <w:r w:rsidR="00371DD4" w:rsidRPr="004C738A">
        <w:rPr>
          <w:rFonts w:ascii="Times New Roman" w:hAnsi="Times New Roman"/>
          <w:sz w:val="24"/>
          <w:szCs w:val="24"/>
          <w:lang w:eastAsia="en-US"/>
        </w:rPr>
        <w:t xml:space="preserve"> die </w:t>
      </w:r>
      <w:r w:rsidR="00C24D00" w:rsidRPr="004C738A">
        <w:rPr>
          <w:rFonts w:ascii="Times New Roman" w:hAnsi="Times New Roman"/>
          <w:sz w:val="24"/>
          <w:szCs w:val="24"/>
          <w:lang w:eastAsia="en-US"/>
        </w:rPr>
        <w:t>auf diesen Treffen</w:t>
      </w:r>
      <w:r w:rsidR="00371DD4" w:rsidRPr="004C738A">
        <w:rPr>
          <w:rFonts w:ascii="Times New Roman" w:hAnsi="Times New Roman"/>
          <w:sz w:val="24"/>
          <w:szCs w:val="24"/>
          <w:lang w:eastAsia="en-US"/>
        </w:rPr>
        <w:t xml:space="preserve"> gehaltenen Referate </w:t>
      </w:r>
      <w:r w:rsidR="00C24D00" w:rsidRPr="004C738A">
        <w:rPr>
          <w:rFonts w:ascii="Times New Roman" w:hAnsi="Times New Roman"/>
          <w:sz w:val="24"/>
          <w:szCs w:val="24"/>
          <w:lang w:eastAsia="en-US"/>
        </w:rPr>
        <w:t>veröffentlicht.</w:t>
      </w:r>
      <w:r w:rsidR="00C24D00" w:rsidRPr="004C738A">
        <w:rPr>
          <w:rFonts w:ascii="Times New Roman" w:hAnsi="Times New Roman"/>
          <w:sz w:val="24"/>
          <w:szCs w:val="24"/>
          <w:vertAlign w:val="superscript"/>
          <w:lang w:eastAsia="en-US"/>
        </w:rPr>
        <w:footnoteReference w:id="99"/>
      </w:r>
      <w:r w:rsidR="00C24D00" w:rsidRPr="004C738A">
        <w:rPr>
          <w:rFonts w:ascii="Times New Roman" w:hAnsi="Times New Roman"/>
          <w:sz w:val="24"/>
          <w:szCs w:val="24"/>
          <w:lang w:eastAsia="en-US"/>
        </w:rPr>
        <w:t xml:space="preserve"> Ein ähnliches Forum stellen die regelmäßigen trilateralen Treffen (</w:t>
      </w:r>
      <w:r w:rsidR="00C24D00" w:rsidRPr="004C738A">
        <w:rPr>
          <w:rFonts w:ascii="Times New Roman" w:hAnsi="Times New Roman"/>
          <w:i/>
          <w:sz w:val="24"/>
          <w:szCs w:val="24"/>
          <w:lang w:eastAsia="en-US"/>
        </w:rPr>
        <w:t>Incontri</w:t>
      </w:r>
      <w:r w:rsidR="00C24D00" w:rsidRPr="004C738A">
        <w:rPr>
          <w:rFonts w:ascii="Times New Roman" w:hAnsi="Times New Roman"/>
          <w:sz w:val="24"/>
          <w:szCs w:val="24"/>
          <w:lang w:eastAsia="en-US"/>
        </w:rPr>
        <w:t>) zwischen dem italienischen, dem portugiesischen und dem sp</w:t>
      </w:r>
      <w:r w:rsidR="00C24D00" w:rsidRPr="004C738A">
        <w:rPr>
          <w:rFonts w:ascii="Times New Roman" w:hAnsi="Times New Roman"/>
          <w:sz w:val="24"/>
          <w:szCs w:val="24"/>
          <w:lang w:eastAsia="en-US"/>
        </w:rPr>
        <w:t>a</w:t>
      </w:r>
      <w:r w:rsidR="00C24D00" w:rsidRPr="004C738A">
        <w:rPr>
          <w:rFonts w:ascii="Times New Roman" w:hAnsi="Times New Roman"/>
          <w:sz w:val="24"/>
          <w:szCs w:val="24"/>
          <w:lang w:eastAsia="en-US"/>
        </w:rPr>
        <w:t>nischen Verfassungsgericht dar.</w:t>
      </w:r>
      <w:r w:rsidR="00C24D00" w:rsidRPr="004C738A">
        <w:rPr>
          <w:rFonts w:ascii="Times New Roman" w:hAnsi="Times New Roman"/>
          <w:sz w:val="24"/>
          <w:szCs w:val="24"/>
          <w:vertAlign w:val="superscript"/>
          <w:lang w:eastAsia="en-US"/>
        </w:rPr>
        <w:footnoteReference w:id="100"/>
      </w:r>
      <w:r w:rsidR="00C24D00" w:rsidRPr="004C738A">
        <w:rPr>
          <w:rFonts w:ascii="Times New Roman" w:hAnsi="Times New Roman"/>
          <w:sz w:val="24"/>
          <w:szCs w:val="24"/>
          <w:lang w:eastAsia="en-US"/>
        </w:rPr>
        <w:t xml:space="preserve"> Daneben gibt es zahlreiche bilaterale Kontakte</w:t>
      </w:r>
      <w:r w:rsidR="00782FD5">
        <w:rPr>
          <w:rFonts w:ascii="Times New Roman" w:hAnsi="Times New Roman"/>
          <w:sz w:val="24"/>
          <w:szCs w:val="24"/>
          <w:lang w:eastAsia="en-US"/>
        </w:rPr>
        <w:t>,</w:t>
      </w:r>
      <w:r w:rsidR="00C24D00" w:rsidRPr="004C738A">
        <w:rPr>
          <w:rFonts w:ascii="Times New Roman" w:hAnsi="Times New Roman"/>
          <w:sz w:val="24"/>
          <w:szCs w:val="24"/>
          <w:lang w:eastAsia="en-US"/>
        </w:rPr>
        <w:t xml:space="preserve"> von denen etwa die Pressemitteilungen des Bundesverfassungsgerichts oder die Internetseiten des span</w:t>
      </w:r>
      <w:r w:rsidR="00C24D00" w:rsidRPr="004C738A">
        <w:rPr>
          <w:rFonts w:ascii="Times New Roman" w:hAnsi="Times New Roman"/>
          <w:sz w:val="24"/>
          <w:szCs w:val="24"/>
          <w:lang w:eastAsia="en-US"/>
        </w:rPr>
        <w:t>i</w:t>
      </w:r>
      <w:r w:rsidR="00C24D00" w:rsidRPr="004C738A">
        <w:rPr>
          <w:rFonts w:ascii="Times New Roman" w:hAnsi="Times New Roman"/>
          <w:sz w:val="24"/>
          <w:szCs w:val="24"/>
          <w:lang w:eastAsia="en-US"/>
        </w:rPr>
        <w:t>schen und des österreichischen Verfassungsgerichts berichten.</w:t>
      </w:r>
    </w:p>
    <w:p w:rsidR="00F320DF" w:rsidRPr="004C738A" w:rsidRDefault="00F320DF" w:rsidP="00EE0BD2">
      <w:pPr>
        <w:rPr>
          <w:rFonts w:ascii="Times New Roman" w:hAnsi="Times New Roman"/>
          <w:sz w:val="24"/>
          <w:szCs w:val="24"/>
          <w:lang w:eastAsia="en-US"/>
        </w:rPr>
      </w:pPr>
    </w:p>
    <w:p w:rsidR="00303D79" w:rsidRPr="004C738A" w:rsidRDefault="00C24D00" w:rsidP="00303D79">
      <w:pPr>
        <w:rPr>
          <w:rFonts w:ascii="Times New Roman" w:hAnsi="Times New Roman"/>
          <w:sz w:val="24"/>
          <w:szCs w:val="24"/>
          <w:lang w:eastAsia="en-US"/>
        </w:rPr>
      </w:pPr>
      <w:r w:rsidRPr="004C738A">
        <w:rPr>
          <w:rFonts w:ascii="Times New Roman" w:hAnsi="Times New Roman"/>
          <w:sz w:val="24"/>
          <w:szCs w:val="24"/>
          <w:lang w:eastAsia="en-US"/>
        </w:rPr>
        <w:t xml:space="preserve">Diese Einbindung in den Verfassungsgerichtsverbund trägt dazu bei, die </w:t>
      </w:r>
      <w:r w:rsidR="00303D79" w:rsidRPr="004C738A">
        <w:rPr>
          <w:rFonts w:ascii="Times New Roman" w:hAnsi="Times New Roman"/>
          <w:sz w:val="24"/>
          <w:szCs w:val="24"/>
          <w:lang w:eastAsia="en-US"/>
        </w:rPr>
        <w:t>innerstaatliche Ste</w:t>
      </w:r>
      <w:r w:rsidR="00303D79" w:rsidRPr="004C738A">
        <w:rPr>
          <w:rFonts w:ascii="Times New Roman" w:hAnsi="Times New Roman"/>
          <w:sz w:val="24"/>
          <w:szCs w:val="24"/>
          <w:lang w:eastAsia="en-US"/>
        </w:rPr>
        <w:t>l</w:t>
      </w:r>
      <w:r w:rsidR="00303D79" w:rsidRPr="004C738A">
        <w:rPr>
          <w:rFonts w:ascii="Times New Roman" w:hAnsi="Times New Roman"/>
          <w:sz w:val="24"/>
          <w:szCs w:val="24"/>
          <w:lang w:eastAsia="en-US"/>
        </w:rPr>
        <w:t xml:space="preserve">lung eines Gerichts </w:t>
      </w:r>
      <w:r w:rsidRPr="004C738A">
        <w:rPr>
          <w:rFonts w:ascii="Times New Roman" w:hAnsi="Times New Roman"/>
          <w:sz w:val="24"/>
          <w:szCs w:val="24"/>
          <w:lang w:eastAsia="en-US"/>
        </w:rPr>
        <w:t xml:space="preserve">zu stabilisieren, die </w:t>
      </w:r>
      <w:r w:rsidR="00303D79" w:rsidRPr="004C738A">
        <w:rPr>
          <w:rFonts w:ascii="Times New Roman" w:hAnsi="Times New Roman"/>
          <w:sz w:val="24"/>
          <w:szCs w:val="24"/>
          <w:lang w:eastAsia="en-US"/>
        </w:rPr>
        <w:t>auch von seiner internationalen Anerkennung a</w:t>
      </w:r>
      <w:r w:rsidR="00303D79" w:rsidRPr="004C738A">
        <w:rPr>
          <w:rFonts w:ascii="Times New Roman" w:hAnsi="Times New Roman"/>
          <w:sz w:val="24"/>
          <w:szCs w:val="24"/>
          <w:lang w:eastAsia="en-US"/>
        </w:rPr>
        <w:t>b</w:t>
      </w:r>
      <w:r w:rsidR="00303D79" w:rsidRPr="004C738A">
        <w:rPr>
          <w:rFonts w:ascii="Times New Roman" w:hAnsi="Times New Roman"/>
          <w:sz w:val="24"/>
          <w:szCs w:val="24"/>
          <w:lang w:eastAsia="en-US"/>
        </w:rPr>
        <w:t>hängt.</w:t>
      </w:r>
      <w:r w:rsidR="00303D79" w:rsidRPr="004C738A">
        <w:rPr>
          <w:rFonts w:ascii="Times New Roman" w:hAnsi="Times New Roman"/>
          <w:sz w:val="24"/>
          <w:szCs w:val="24"/>
          <w:vertAlign w:val="superscript"/>
          <w:lang w:eastAsia="en-US"/>
        </w:rPr>
        <w:footnoteReference w:id="101"/>
      </w:r>
      <w:r w:rsidR="00303D79" w:rsidRPr="004C738A">
        <w:rPr>
          <w:rFonts w:ascii="Times New Roman" w:hAnsi="Times New Roman"/>
          <w:sz w:val="24"/>
          <w:szCs w:val="24"/>
          <w:lang w:eastAsia="en-US"/>
        </w:rPr>
        <w:t xml:space="preserve"> </w:t>
      </w:r>
      <w:r w:rsidRPr="004C738A">
        <w:rPr>
          <w:rFonts w:ascii="Times New Roman" w:hAnsi="Times New Roman"/>
          <w:sz w:val="24"/>
          <w:szCs w:val="24"/>
          <w:lang w:eastAsia="en-US"/>
        </w:rPr>
        <w:t xml:space="preserve">Sie befördert darüber hinaus </w:t>
      </w:r>
      <w:r w:rsidR="00366D4E" w:rsidRPr="004C738A">
        <w:rPr>
          <w:rFonts w:ascii="Times New Roman" w:hAnsi="Times New Roman"/>
          <w:sz w:val="24"/>
          <w:szCs w:val="24"/>
          <w:lang w:eastAsia="en-US"/>
        </w:rPr>
        <w:t>die gemeineuropäische Rechtskultur</w:t>
      </w:r>
      <w:r w:rsidRPr="004C738A">
        <w:rPr>
          <w:rFonts w:ascii="Times New Roman" w:hAnsi="Times New Roman"/>
          <w:sz w:val="24"/>
          <w:szCs w:val="24"/>
          <w:lang w:eastAsia="en-US"/>
        </w:rPr>
        <w:t>.</w:t>
      </w:r>
      <w:r w:rsidR="00366D4E" w:rsidRPr="004C738A">
        <w:rPr>
          <w:rFonts w:ascii="Times New Roman" w:hAnsi="Times New Roman"/>
          <w:sz w:val="24"/>
          <w:szCs w:val="24"/>
          <w:lang w:eastAsia="en-US"/>
        </w:rPr>
        <w:t xml:space="preserve"> </w:t>
      </w:r>
      <w:r w:rsidR="00303D79" w:rsidRPr="004C738A">
        <w:rPr>
          <w:rFonts w:ascii="Times New Roman" w:hAnsi="Times New Roman"/>
          <w:sz w:val="24"/>
          <w:szCs w:val="24"/>
          <w:lang w:eastAsia="en-US"/>
        </w:rPr>
        <w:t>Was immer</w:t>
      </w:r>
      <w:r w:rsidR="00366D4E" w:rsidRPr="004C738A">
        <w:rPr>
          <w:rFonts w:ascii="Times New Roman" w:hAnsi="Times New Roman"/>
          <w:sz w:val="24"/>
          <w:szCs w:val="24"/>
          <w:lang w:eastAsia="en-US"/>
        </w:rPr>
        <w:t xml:space="preserve"> </w:t>
      </w:r>
      <w:r w:rsidRPr="004C738A">
        <w:rPr>
          <w:rFonts w:ascii="Times New Roman" w:hAnsi="Times New Roman"/>
          <w:sz w:val="24"/>
          <w:szCs w:val="24"/>
          <w:lang w:eastAsia="en-US"/>
        </w:rPr>
        <w:t xml:space="preserve">man unter </w:t>
      </w:r>
      <w:r w:rsidR="00366D4E" w:rsidRPr="004C738A">
        <w:rPr>
          <w:rFonts w:ascii="Times New Roman" w:hAnsi="Times New Roman"/>
          <w:sz w:val="24"/>
          <w:szCs w:val="24"/>
          <w:lang w:eastAsia="en-US"/>
        </w:rPr>
        <w:t>diese</w:t>
      </w:r>
      <w:r w:rsidRPr="004C738A">
        <w:rPr>
          <w:rFonts w:ascii="Times New Roman" w:hAnsi="Times New Roman"/>
          <w:sz w:val="24"/>
          <w:szCs w:val="24"/>
          <w:lang w:eastAsia="en-US"/>
        </w:rPr>
        <w:t>m</w:t>
      </w:r>
      <w:r w:rsidR="00366D4E" w:rsidRPr="004C738A">
        <w:rPr>
          <w:rFonts w:ascii="Times New Roman" w:hAnsi="Times New Roman"/>
          <w:sz w:val="24"/>
          <w:szCs w:val="24"/>
          <w:lang w:eastAsia="en-US"/>
        </w:rPr>
        <w:t xml:space="preserve"> Begriff auch </w:t>
      </w:r>
      <w:r w:rsidRPr="004C738A">
        <w:rPr>
          <w:rFonts w:ascii="Times New Roman" w:hAnsi="Times New Roman"/>
          <w:sz w:val="24"/>
          <w:szCs w:val="24"/>
          <w:lang w:eastAsia="en-US"/>
        </w:rPr>
        <w:t xml:space="preserve">verstehen </w:t>
      </w:r>
      <w:r w:rsidR="00366D4E" w:rsidRPr="004C738A">
        <w:rPr>
          <w:rFonts w:ascii="Times New Roman" w:hAnsi="Times New Roman"/>
          <w:sz w:val="24"/>
          <w:szCs w:val="24"/>
          <w:lang w:eastAsia="en-US"/>
        </w:rPr>
        <w:t>mag</w:t>
      </w:r>
      <w:r w:rsidR="00303D79" w:rsidRPr="004C738A">
        <w:rPr>
          <w:rFonts w:ascii="Times New Roman" w:hAnsi="Times New Roman"/>
          <w:sz w:val="24"/>
          <w:szCs w:val="24"/>
          <w:vertAlign w:val="superscript"/>
          <w:lang w:eastAsia="en-US"/>
        </w:rPr>
        <w:footnoteReference w:id="102"/>
      </w:r>
      <w:r w:rsidR="00303D79" w:rsidRPr="004C738A">
        <w:rPr>
          <w:rFonts w:ascii="Times New Roman" w:hAnsi="Times New Roman"/>
          <w:sz w:val="24"/>
          <w:szCs w:val="24"/>
          <w:lang w:eastAsia="en-US"/>
        </w:rPr>
        <w:t xml:space="preserve"> </w:t>
      </w:r>
      <w:r w:rsidR="00E35D05">
        <w:rPr>
          <w:rFonts w:ascii="Times New Roman" w:hAnsi="Times New Roman"/>
          <w:sz w:val="24"/>
          <w:szCs w:val="24"/>
          <w:lang w:eastAsia="en-US"/>
        </w:rPr>
        <w:t>–</w:t>
      </w:r>
      <w:r w:rsidR="00E35D05" w:rsidRPr="004C738A">
        <w:rPr>
          <w:rFonts w:ascii="Times New Roman" w:hAnsi="Times New Roman"/>
          <w:sz w:val="24"/>
          <w:szCs w:val="24"/>
          <w:lang w:eastAsia="en-US"/>
        </w:rPr>
        <w:t xml:space="preserve"> </w:t>
      </w:r>
      <w:r w:rsidR="00303D79" w:rsidRPr="004C738A">
        <w:rPr>
          <w:rFonts w:ascii="Times New Roman" w:hAnsi="Times New Roman"/>
          <w:sz w:val="24"/>
          <w:szCs w:val="24"/>
          <w:lang w:eastAsia="en-US"/>
        </w:rPr>
        <w:t xml:space="preserve">auf jeden Fall hat </w:t>
      </w:r>
      <w:r w:rsidR="00366D4E" w:rsidRPr="004C738A">
        <w:rPr>
          <w:rFonts w:ascii="Times New Roman" w:hAnsi="Times New Roman"/>
          <w:sz w:val="24"/>
          <w:szCs w:val="24"/>
          <w:lang w:eastAsia="en-US"/>
        </w:rPr>
        <w:t xml:space="preserve">er </w:t>
      </w:r>
      <w:r w:rsidR="00303D79" w:rsidRPr="004C738A">
        <w:rPr>
          <w:rFonts w:ascii="Times New Roman" w:hAnsi="Times New Roman"/>
          <w:sz w:val="24"/>
          <w:szCs w:val="24"/>
          <w:lang w:eastAsia="en-US"/>
        </w:rPr>
        <w:t>etwas mit Orientierungen, Selbstverständnissen und sozialen Praktiken zu tun.</w:t>
      </w:r>
      <w:r w:rsidR="00303D79" w:rsidRPr="004C738A">
        <w:rPr>
          <w:rFonts w:ascii="Times New Roman" w:hAnsi="Times New Roman"/>
          <w:sz w:val="24"/>
          <w:szCs w:val="24"/>
          <w:vertAlign w:val="superscript"/>
          <w:lang w:eastAsia="en-US"/>
        </w:rPr>
        <w:footnoteReference w:id="103"/>
      </w:r>
      <w:r w:rsidR="00303D79" w:rsidRPr="004C738A">
        <w:rPr>
          <w:rFonts w:ascii="Times New Roman" w:hAnsi="Times New Roman"/>
          <w:sz w:val="24"/>
          <w:szCs w:val="24"/>
          <w:lang w:eastAsia="en-US"/>
        </w:rPr>
        <w:t xml:space="preserve"> </w:t>
      </w:r>
    </w:p>
    <w:p w:rsidR="00F320DF" w:rsidRPr="004C738A" w:rsidRDefault="00F320DF" w:rsidP="00303D79">
      <w:pPr>
        <w:rPr>
          <w:rFonts w:ascii="Times New Roman" w:hAnsi="Times New Roman"/>
          <w:sz w:val="24"/>
          <w:szCs w:val="24"/>
          <w:lang w:eastAsia="en-US"/>
        </w:rPr>
      </w:pPr>
    </w:p>
    <w:p w:rsidR="002A5340" w:rsidRPr="004C738A" w:rsidRDefault="002A5340" w:rsidP="00303D79">
      <w:pPr>
        <w:pStyle w:val="berschrift2"/>
        <w:rPr>
          <w:rFonts w:ascii="Times New Roman" w:hAnsi="Times New Roman" w:cs="Times New Roman"/>
          <w:sz w:val="24"/>
          <w:szCs w:val="24"/>
          <w:lang w:eastAsia="en-US"/>
        </w:rPr>
      </w:pPr>
      <w:bookmarkStart w:id="23" w:name="_Toc498362315"/>
      <w:r w:rsidRPr="004C738A">
        <w:rPr>
          <w:rFonts w:ascii="Times New Roman" w:hAnsi="Times New Roman" w:cs="Times New Roman"/>
          <w:sz w:val="24"/>
          <w:szCs w:val="24"/>
          <w:lang w:eastAsia="en-US"/>
        </w:rPr>
        <w:t>3. Zwischenfazit</w:t>
      </w:r>
      <w:bookmarkEnd w:id="23"/>
    </w:p>
    <w:p w:rsidR="002A5340" w:rsidRPr="004C738A" w:rsidRDefault="00C24D00" w:rsidP="002A5340">
      <w:pPr>
        <w:rPr>
          <w:rFonts w:ascii="Times New Roman" w:hAnsi="Times New Roman"/>
          <w:sz w:val="24"/>
          <w:szCs w:val="24"/>
        </w:rPr>
      </w:pPr>
      <w:r w:rsidRPr="004C738A">
        <w:rPr>
          <w:rFonts w:ascii="Times New Roman" w:hAnsi="Times New Roman"/>
          <w:sz w:val="24"/>
          <w:szCs w:val="24"/>
        </w:rPr>
        <w:t xml:space="preserve">Der europäische </w:t>
      </w:r>
      <w:r w:rsidR="00B525CC" w:rsidRPr="004C738A">
        <w:rPr>
          <w:rFonts w:ascii="Times New Roman" w:hAnsi="Times New Roman"/>
          <w:sz w:val="24"/>
          <w:szCs w:val="24"/>
        </w:rPr>
        <w:t>Rechtsprechungs- und Verfassungsgerichtsverbund</w:t>
      </w:r>
      <w:r w:rsidRPr="004C738A">
        <w:rPr>
          <w:rFonts w:ascii="Times New Roman" w:hAnsi="Times New Roman"/>
          <w:sz w:val="24"/>
          <w:szCs w:val="24"/>
        </w:rPr>
        <w:t xml:space="preserve"> und die Einbettung der Justiz in den europäischen Rechtsraum können </w:t>
      </w:r>
      <w:r w:rsidR="00B525CC" w:rsidRPr="004C738A">
        <w:rPr>
          <w:rFonts w:ascii="Times New Roman" w:hAnsi="Times New Roman"/>
          <w:sz w:val="24"/>
          <w:szCs w:val="24"/>
        </w:rPr>
        <w:t xml:space="preserve">den </w:t>
      </w:r>
      <w:r w:rsidRPr="004C738A">
        <w:rPr>
          <w:rFonts w:ascii="Times New Roman" w:hAnsi="Times New Roman"/>
          <w:sz w:val="24"/>
          <w:szCs w:val="24"/>
        </w:rPr>
        <w:t xml:space="preserve">Umbau </w:t>
      </w:r>
      <w:r w:rsidR="00B525CC" w:rsidRPr="004C738A">
        <w:rPr>
          <w:rFonts w:ascii="Times New Roman" w:hAnsi="Times New Roman"/>
          <w:sz w:val="24"/>
          <w:szCs w:val="24"/>
        </w:rPr>
        <w:t>eine</w:t>
      </w:r>
      <w:r w:rsidRPr="004C738A">
        <w:rPr>
          <w:rFonts w:ascii="Times New Roman" w:hAnsi="Times New Roman"/>
          <w:sz w:val="24"/>
          <w:szCs w:val="24"/>
        </w:rPr>
        <w:t>s</w:t>
      </w:r>
      <w:r w:rsidR="00B525CC" w:rsidRPr="004C738A">
        <w:rPr>
          <w:rFonts w:ascii="Times New Roman" w:hAnsi="Times New Roman"/>
          <w:sz w:val="24"/>
          <w:szCs w:val="24"/>
        </w:rPr>
        <w:t xml:space="preserve"> Mitgliedstaat</w:t>
      </w:r>
      <w:r w:rsidRPr="004C738A">
        <w:rPr>
          <w:rFonts w:ascii="Times New Roman" w:hAnsi="Times New Roman"/>
          <w:sz w:val="24"/>
          <w:szCs w:val="24"/>
        </w:rPr>
        <w:t>s in eine autor</w:t>
      </w:r>
      <w:r w:rsidRPr="004C738A">
        <w:rPr>
          <w:rFonts w:ascii="Times New Roman" w:hAnsi="Times New Roman"/>
          <w:sz w:val="24"/>
          <w:szCs w:val="24"/>
        </w:rPr>
        <w:t>i</w:t>
      </w:r>
      <w:r w:rsidRPr="004C738A">
        <w:rPr>
          <w:rFonts w:ascii="Times New Roman" w:hAnsi="Times New Roman"/>
          <w:sz w:val="24"/>
          <w:szCs w:val="24"/>
        </w:rPr>
        <w:t>täre Herrschaft</w:t>
      </w:r>
      <w:r w:rsidR="00B525CC" w:rsidRPr="004C738A">
        <w:rPr>
          <w:rFonts w:ascii="Times New Roman" w:hAnsi="Times New Roman"/>
          <w:sz w:val="24"/>
          <w:szCs w:val="24"/>
        </w:rPr>
        <w:t xml:space="preserve"> zwar nicht verhindern. </w:t>
      </w:r>
      <w:r w:rsidRPr="004C738A">
        <w:rPr>
          <w:rFonts w:ascii="Times New Roman" w:hAnsi="Times New Roman"/>
          <w:sz w:val="24"/>
          <w:szCs w:val="24"/>
        </w:rPr>
        <w:t xml:space="preserve">Sie können </w:t>
      </w:r>
      <w:r w:rsidR="00B525CC" w:rsidRPr="004C738A">
        <w:rPr>
          <w:rFonts w:ascii="Times New Roman" w:hAnsi="Times New Roman"/>
          <w:sz w:val="24"/>
          <w:szCs w:val="24"/>
        </w:rPr>
        <w:t>aber</w:t>
      </w:r>
      <w:r w:rsidR="00651446" w:rsidRPr="004C738A">
        <w:rPr>
          <w:rFonts w:ascii="Times New Roman" w:hAnsi="Times New Roman"/>
          <w:sz w:val="24"/>
          <w:szCs w:val="24"/>
        </w:rPr>
        <w:t xml:space="preserve"> durch Beeinflussung der nationalen, europäischen und internationalen Öffentlichkeit mit </w:t>
      </w:r>
      <w:r w:rsidR="00B525CC" w:rsidRPr="004C738A">
        <w:rPr>
          <w:rFonts w:ascii="Times New Roman" w:hAnsi="Times New Roman"/>
          <w:sz w:val="24"/>
          <w:szCs w:val="24"/>
        </w:rPr>
        <w:t xml:space="preserve">dazu </w:t>
      </w:r>
      <w:r w:rsidR="00651446" w:rsidRPr="004C738A">
        <w:rPr>
          <w:rFonts w:ascii="Times New Roman" w:hAnsi="Times New Roman"/>
          <w:sz w:val="24"/>
          <w:szCs w:val="24"/>
        </w:rPr>
        <w:t>beitragen</w:t>
      </w:r>
      <w:r w:rsidR="00B525CC" w:rsidRPr="004C738A">
        <w:rPr>
          <w:rFonts w:ascii="Times New Roman" w:hAnsi="Times New Roman"/>
          <w:sz w:val="24"/>
          <w:szCs w:val="24"/>
        </w:rPr>
        <w:t xml:space="preserve">, dass jener </w:t>
      </w:r>
      <w:r w:rsidR="007C0A3D" w:rsidRPr="004C738A">
        <w:rPr>
          <w:rFonts w:ascii="Times New Roman" w:hAnsi="Times New Roman"/>
          <w:sz w:val="24"/>
          <w:szCs w:val="24"/>
        </w:rPr>
        <w:t xml:space="preserve">abschüssige Pfad, </w:t>
      </w:r>
      <w:r w:rsidR="00B525CC" w:rsidRPr="004C738A">
        <w:rPr>
          <w:rFonts w:ascii="Times New Roman" w:hAnsi="Times New Roman"/>
          <w:sz w:val="24"/>
          <w:szCs w:val="24"/>
        </w:rPr>
        <w:t xml:space="preserve">der in einen Systemwechsel mündet, gar nicht erst beschritten wird. </w:t>
      </w:r>
      <w:r w:rsidR="002A5340" w:rsidRPr="004C738A">
        <w:rPr>
          <w:rFonts w:ascii="Times New Roman" w:hAnsi="Times New Roman"/>
          <w:sz w:val="24"/>
          <w:szCs w:val="24"/>
        </w:rPr>
        <w:t>Je stärker Kohärenz und Interdependenz im Rechtsprechungs- und Verfassungsgerichtsverbund sind, je größer die aus einer gefestigten Zusammenarbeit gewachsene Solidarität</w:t>
      </w:r>
      <w:r w:rsidR="00437B53" w:rsidRPr="004C738A">
        <w:rPr>
          <w:rFonts w:ascii="Times New Roman" w:hAnsi="Times New Roman"/>
          <w:sz w:val="24"/>
          <w:szCs w:val="24"/>
        </w:rPr>
        <w:t xml:space="preserve"> zwischen den (Verfassungs- und Höchst-)Gerichten Europas</w:t>
      </w:r>
      <w:r w:rsidR="002A5340" w:rsidRPr="004C738A">
        <w:rPr>
          <w:rFonts w:ascii="Times New Roman" w:hAnsi="Times New Roman"/>
          <w:sz w:val="24"/>
          <w:szCs w:val="24"/>
        </w:rPr>
        <w:t>,</w:t>
      </w:r>
      <w:r w:rsidR="00651446" w:rsidRPr="004C738A">
        <w:rPr>
          <w:rFonts w:ascii="Times New Roman" w:hAnsi="Times New Roman"/>
          <w:sz w:val="24"/>
          <w:szCs w:val="24"/>
        </w:rPr>
        <w:t xml:space="preserve"> je präsenter dies im Bewusstsein von Regierenden und R</w:t>
      </w:r>
      <w:r w:rsidR="00651446" w:rsidRPr="004C738A">
        <w:rPr>
          <w:rFonts w:ascii="Times New Roman" w:hAnsi="Times New Roman"/>
          <w:sz w:val="24"/>
          <w:szCs w:val="24"/>
        </w:rPr>
        <w:t>e</w:t>
      </w:r>
      <w:r w:rsidR="00651446" w:rsidRPr="004C738A">
        <w:rPr>
          <w:rFonts w:ascii="Times New Roman" w:hAnsi="Times New Roman"/>
          <w:sz w:val="24"/>
          <w:szCs w:val="24"/>
        </w:rPr>
        <w:t>gierten ist,</w:t>
      </w:r>
      <w:r w:rsidR="002A5340" w:rsidRPr="004C738A">
        <w:rPr>
          <w:rFonts w:ascii="Times New Roman" w:hAnsi="Times New Roman"/>
          <w:sz w:val="24"/>
          <w:szCs w:val="24"/>
        </w:rPr>
        <w:t xml:space="preserve"> umso höher sind</w:t>
      </w:r>
      <w:r w:rsidR="00B525CC" w:rsidRPr="004C738A">
        <w:rPr>
          <w:rFonts w:ascii="Times New Roman" w:hAnsi="Times New Roman"/>
          <w:sz w:val="24"/>
          <w:szCs w:val="24"/>
        </w:rPr>
        <w:t xml:space="preserve"> auch</w:t>
      </w:r>
      <w:r w:rsidR="002A5340" w:rsidRPr="004C738A">
        <w:rPr>
          <w:rFonts w:ascii="Times New Roman" w:hAnsi="Times New Roman"/>
          <w:sz w:val="24"/>
          <w:szCs w:val="24"/>
        </w:rPr>
        <w:t xml:space="preserve"> die Hürden, die der Demontage </w:t>
      </w:r>
      <w:r w:rsidR="00437B53" w:rsidRPr="004C738A">
        <w:rPr>
          <w:rFonts w:ascii="Times New Roman" w:hAnsi="Times New Roman"/>
          <w:sz w:val="24"/>
          <w:szCs w:val="24"/>
        </w:rPr>
        <w:t xml:space="preserve">der Verfassungs- und Rechtsstaatlichkeit </w:t>
      </w:r>
      <w:r w:rsidR="00B525CC" w:rsidRPr="004C738A">
        <w:rPr>
          <w:rFonts w:ascii="Times New Roman" w:hAnsi="Times New Roman"/>
          <w:sz w:val="24"/>
          <w:szCs w:val="24"/>
        </w:rPr>
        <w:t xml:space="preserve">in einem Mitgliedstaat </w:t>
      </w:r>
      <w:r w:rsidR="002A5340" w:rsidRPr="004C738A">
        <w:rPr>
          <w:rFonts w:ascii="Times New Roman" w:hAnsi="Times New Roman"/>
          <w:sz w:val="24"/>
          <w:szCs w:val="24"/>
        </w:rPr>
        <w:t>entgegen</w:t>
      </w:r>
      <w:r w:rsidR="00B525CC" w:rsidRPr="004C738A">
        <w:rPr>
          <w:rFonts w:ascii="Times New Roman" w:hAnsi="Times New Roman"/>
          <w:sz w:val="24"/>
          <w:szCs w:val="24"/>
        </w:rPr>
        <w:t>gesetzt werden können</w:t>
      </w:r>
      <w:r w:rsidR="002A5340" w:rsidRPr="004C738A">
        <w:rPr>
          <w:rFonts w:ascii="Times New Roman" w:hAnsi="Times New Roman"/>
          <w:sz w:val="24"/>
          <w:szCs w:val="24"/>
        </w:rPr>
        <w:t xml:space="preserve">. </w:t>
      </w:r>
    </w:p>
    <w:p w:rsidR="002A5340" w:rsidRPr="004C738A" w:rsidRDefault="003F13D1" w:rsidP="00303D79">
      <w:pPr>
        <w:pStyle w:val="berschrift1"/>
        <w:rPr>
          <w:rFonts w:ascii="Times New Roman" w:hAnsi="Times New Roman" w:cs="Times New Roman"/>
          <w:sz w:val="24"/>
          <w:szCs w:val="24"/>
          <w:lang w:eastAsia="en-US"/>
        </w:rPr>
      </w:pPr>
      <w:bookmarkStart w:id="24" w:name="_Toc498362316"/>
      <w:r w:rsidRPr="004C738A">
        <w:rPr>
          <w:rFonts w:ascii="Times New Roman" w:hAnsi="Times New Roman" w:cs="Times New Roman"/>
          <w:sz w:val="24"/>
          <w:szCs w:val="24"/>
          <w:lang w:eastAsia="en-US"/>
        </w:rPr>
        <w:t xml:space="preserve">IV. </w:t>
      </w:r>
      <w:r w:rsidR="00DA3CAF" w:rsidRPr="004C738A">
        <w:rPr>
          <w:rFonts w:ascii="Times New Roman" w:hAnsi="Times New Roman" w:cs="Times New Roman"/>
          <w:sz w:val="24"/>
          <w:szCs w:val="24"/>
          <w:lang w:eastAsia="en-US"/>
        </w:rPr>
        <w:t>Denkbare Lehren</w:t>
      </w:r>
      <w:bookmarkEnd w:id="24"/>
    </w:p>
    <w:p w:rsidR="00384AF4" w:rsidRPr="004C738A" w:rsidRDefault="00384AF4" w:rsidP="006C3C42">
      <w:pPr>
        <w:rPr>
          <w:rFonts w:ascii="Times New Roman" w:hAnsi="Times New Roman"/>
          <w:sz w:val="24"/>
          <w:szCs w:val="24"/>
          <w:lang w:eastAsia="en-US"/>
        </w:rPr>
      </w:pPr>
    </w:p>
    <w:p w:rsidR="00384AF4" w:rsidRPr="004C738A" w:rsidRDefault="00384AF4" w:rsidP="006C3C42">
      <w:pPr>
        <w:rPr>
          <w:rFonts w:ascii="Times New Roman" w:hAnsi="Times New Roman"/>
          <w:sz w:val="24"/>
          <w:szCs w:val="24"/>
        </w:rPr>
      </w:pPr>
      <w:r w:rsidRPr="004C738A">
        <w:rPr>
          <w:rFonts w:ascii="Times New Roman" w:hAnsi="Times New Roman"/>
          <w:sz w:val="24"/>
          <w:szCs w:val="24"/>
        </w:rPr>
        <w:lastRenderedPageBreak/>
        <w:t>In der Summe ist die Entwicklung besorgniserregend. Nachdem sich Verfassungs- und Rechtsstaatlichkeit nach dem II. Weltkrieg zunächst im Westen und Süden Europas und nach der Zeitenwende der Jahre 1989/90 dann auf dem ganzen Kontinent durchzusetzen schienen, befinden sie sich seit einigen Jahren zunehmend in der Defensive. Ru</w:t>
      </w:r>
      <w:r w:rsidR="00FD43B9" w:rsidRPr="004C738A">
        <w:rPr>
          <w:rFonts w:ascii="Times New Roman" w:hAnsi="Times New Roman"/>
          <w:sz w:val="24"/>
          <w:szCs w:val="24"/>
        </w:rPr>
        <w:t>ss</w:t>
      </w:r>
      <w:r w:rsidRPr="004C738A">
        <w:rPr>
          <w:rFonts w:ascii="Times New Roman" w:hAnsi="Times New Roman"/>
          <w:sz w:val="24"/>
          <w:szCs w:val="24"/>
        </w:rPr>
        <w:t>land und die Türkei</w:t>
      </w:r>
      <w:r w:rsidRPr="004C738A">
        <w:rPr>
          <w:rStyle w:val="Funotenzeichen"/>
          <w:rFonts w:ascii="Times New Roman" w:hAnsi="Times New Roman" w:cs="Times New Roman"/>
          <w:sz w:val="24"/>
          <w:szCs w:val="24"/>
        </w:rPr>
        <w:footnoteReference w:id="104"/>
      </w:r>
      <w:r w:rsidRPr="004C738A">
        <w:rPr>
          <w:rFonts w:ascii="Times New Roman" w:hAnsi="Times New Roman"/>
          <w:sz w:val="24"/>
          <w:szCs w:val="24"/>
        </w:rPr>
        <w:t xml:space="preserve"> haben sich bereits in autoritäre Regime verwandelt, in denen auch die Verfassungsgerichte keine ernsthafte Rolle mehr spielen, jedenfalls nicht mehr als „strukturelle Opposition“ gegen die Machthaber taugen. Ungarn und vor allem Polen sind auf dem Weg in eine ähnliche Ric</w:t>
      </w:r>
      <w:r w:rsidRPr="004C738A">
        <w:rPr>
          <w:rFonts w:ascii="Times New Roman" w:hAnsi="Times New Roman"/>
          <w:sz w:val="24"/>
          <w:szCs w:val="24"/>
        </w:rPr>
        <w:t>h</w:t>
      </w:r>
      <w:r w:rsidRPr="004C738A">
        <w:rPr>
          <w:rFonts w:ascii="Times New Roman" w:hAnsi="Times New Roman"/>
          <w:sz w:val="24"/>
          <w:szCs w:val="24"/>
        </w:rPr>
        <w:t xml:space="preserve">tung. </w:t>
      </w:r>
    </w:p>
    <w:p w:rsidR="00384AF4" w:rsidRPr="004C738A" w:rsidRDefault="00384AF4" w:rsidP="006C3C42">
      <w:pPr>
        <w:rPr>
          <w:rFonts w:ascii="Times New Roman" w:hAnsi="Times New Roman"/>
          <w:sz w:val="24"/>
          <w:szCs w:val="24"/>
        </w:rPr>
      </w:pPr>
    </w:p>
    <w:p w:rsidR="00E60030" w:rsidRPr="004C738A" w:rsidRDefault="008B427D" w:rsidP="006C3C42">
      <w:pPr>
        <w:rPr>
          <w:rFonts w:ascii="Times New Roman" w:hAnsi="Times New Roman"/>
          <w:sz w:val="24"/>
          <w:szCs w:val="24"/>
        </w:rPr>
      </w:pPr>
      <w:r>
        <w:rPr>
          <w:rFonts w:ascii="Times New Roman" w:hAnsi="Times New Roman"/>
          <w:sz w:val="24"/>
          <w:szCs w:val="24"/>
        </w:rPr>
        <w:t>„</w:t>
      </w:r>
      <w:r w:rsidR="007C0A3D" w:rsidRPr="004C738A">
        <w:rPr>
          <w:rFonts w:ascii="Times New Roman" w:hAnsi="Times New Roman"/>
          <w:sz w:val="24"/>
          <w:szCs w:val="24"/>
        </w:rPr>
        <w:t>Institutionen-Bashing</w:t>
      </w:r>
      <w:r w:rsidR="006170FF" w:rsidRPr="004C738A">
        <w:rPr>
          <w:rFonts w:ascii="Times New Roman" w:hAnsi="Times New Roman"/>
          <w:sz w:val="24"/>
          <w:szCs w:val="24"/>
        </w:rPr>
        <w:t>“</w:t>
      </w:r>
      <w:r w:rsidR="007C0A3D" w:rsidRPr="004C738A">
        <w:rPr>
          <w:rFonts w:ascii="Times New Roman" w:hAnsi="Times New Roman"/>
          <w:sz w:val="24"/>
          <w:szCs w:val="24"/>
        </w:rPr>
        <w:t xml:space="preserve"> bleibt auf Dauer nicht folgenlos.</w:t>
      </w:r>
      <w:r w:rsidR="006170FF" w:rsidRPr="004C738A">
        <w:rPr>
          <w:rFonts w:ascii="Times New Roman" w:hAnsi="Times New Roman"/>
          <w:sz w:val="24"/>
          <w:szCs w:val="24"/>
        </w:rPr>
        <w:t xml:space="preserve"> Es beschädigt die Legitimität der Institution und die Akzeptanz ihrer Entscheidungen.</w:t>
      </w:r>
      <w:r w:rsidR="007C0A3D" w:rsidRPr="004C738A">
        <w:rPr>
          <w:rFonts w:ascii="Times New Roman" w:hAnsi="Times New Roman"/>
          <w:sz w:val="24"/>
          <w:szCs w:val="24"/>
        </w:rPr>
        <w:t xml:space="preserve"> Das gilt für die Verächtlichmachung des Parlaments, wie die Weimarer Erfahrungen zeigen, nicht anders als </w:t>
      </w:r>
      <w:r w:rsidR="006170FF" w:rsidRPr="004C738A">
        <w:rPr>
          <w:rFonts w:ascii="Times New Roman" w:hAnsi="Times New Roman"/>
          <w:sz w:val="24"/>
          <w:szCs w:val="24"/>
        </w:rPr>
        <w:t>für Verfassungsgericht und Justiz. Diese sind sogar besonders verwundbar, weil sie sich auch gegen ungerechtfertigte Angriffe nur begrenzt wehren können. Zwar bedeutet Kritik am Verfassungsgericht noch ke</w:t>
      </w:r>
      <w:r w:rsidR="006170FF" w:rsidRPr="004C738A">
        <w:rPr>
          <w:rFonts w:ascii="Times New Roman" w:hAnsi="Times New Roman"/>
          <w:sz w:val="24"/>
          <w:szCs w:val="24"/>
        </w:rPr>
        <w:t>i</w:t>
      </w:r>
      <w:r w:rsidR="006170FF" w:rsidRPr="004C738A">
        <w:rPr>
          <w:rFonts w:ascii="Times New Roman" w:hAnsi="Times New Roman"/>
          <w:sz w:val="24"/>
          <w:szCs w:val="24"/>
        </w:rPr>
        <w:t xml:space="preserve">ne Verfassungskrise. Im Gegenteil: </w:t>
      </w:r>
      <w:r w:rsidR="00E35D05">
        <w:rPr>
          <w:rFonts w:ascii="Times New Roman" w:hAnsi="Times New Roman"/>
          <w:sz w:val="24"/>
          <w:szCs w:val="24"/>
        </w:rPr>
        <w:t>S</w:t>
      </w:r>
      <w:r w:rsidR="00E35D05" w:rsidRPr="004C738A">
        <w:rPr>
          <w:rFonts w:ascii="Times New Roman" w:hAnsi="Times New Roman"/>
          <w:sz w:val="24"/>
          <w:szCs w:val="24"/>
        </w:rPr>
        <w:t xml:space="preserve">ie </w:t>
      </w:r>
      <w:r w:rsidR="006170FF" w:rsidRPr="004C738A">
        <w:rPr>
          <w:rFonts w:ascii="Times New Roman" w:hAnsi="Times New Roman"/>
          <w:sz w:val="24"/>
          <w:szCs w:val="24"/>
        </w:rPr>
        <w:t>ist legitim und notwendig, soweit sie sich auf konkrete Entscheidungen, Rechtsprechungslinien und deren Folgen bezieht. Sie ist sogar produktiv, wenn sie von Sachkenntnis und dem Bemühen um Erkenntnis getragen ist. Zum Problem wird sie, wenn sie</w:t>
      </w:r>
      <w:r w:rsidR="00DA3CAF" w:rsidRPr="004C738A">
        <w:rPr>
          <w:rFonts w:ascii="Times New Roman" w:hAnsi="Times New Roman"/>
          <w:sz w:val="24"/>
          <w:szCs w:val="24"/>
        </w:rPr>
        <w:t xml:space="preserve"> sich gegen die Institution als solche und die ihr von der Verfassung zugedachten Funktionen wendet.</w:t>
      </w:r>
    </w:p>
    <w:p w:rsidR="00DA3CAF" w:rsidRPr="004C738A" w:rsidRDefault="00DA3CAF" w:rsidP="006C3C42">
      <w:pPr>
        <w:rPr>
          <w:rFonts w:ascii="Times New Roman" w:hAnsi="Times New Roman"/>
          <w:sz w:val="24"/>
          <w:szCs w:val="24"/>
        </w:rPr>
      </w:pPr>
    </w:p>
    <w:p w:rsidR="0006430F" w:rsidRPr="004C738A" w:rsidRDefault="00DA3CAF" w:rsidP="006C3C42">
      <w:pPr>
        <w:rPr>
          <w:rFonts w:ascii="Times New Roman" w:hAnsi="Times New Roman"/>
          <w:sz w:val="24"/>
          <w:szCs w:val="24"/>
        </w:rPr>
      </w:pPr>
      <w:r w:rsidRPr="004C738A">
        <w:rPr>
          <w:rFonts w:ascii="Times New Roman" w:hAnsi="Times New Roman"/>
          <w:sz w:val="24"/>
          <w:szCs w:val="24"/>
        </w:rPr>
        <w:t>Insoweit gilt es auch in den gefestigten Verfassungsstaaten des Westens, die Entwicklung von Verfassungs- und Rechtsstaatlichkeit aufmerksam zu beobachten. Nicht jede Irr</w:t>
      </w:r>
      <w:r w:rsidR="008B427D">
        <w:rPr>
          <w:rFonts w:ascii="Times New Roman" w:hAnsi="Times New Roman"/>
          <w:sz w:val="24"/>
          <w:szCs w:val="24"/>
        </w:rPr>
        <w:t>it</w:t>
      </w:r>
      <w:r w:rsidRPr="004C738A">
        <w:rPr>
          <w:rFonts w:ascii="Times New Roman" w:hAnsi="Times New Roman"/>
          <w:sz w:val="24"/>
          <w:szCs w:val="24"/>
        </w:rPr>
        <w:t>ation ist d</w:t>
      </w:r>
      <w:r w:rsidRPr="004C738A">
        <w:rPr>
          <w:rFonts w:ascii="Times New Roman" w:hAnsi="Times New Roman"/>
          <w:sz w:val="24"/>
          <w:szCs w:val="24"/>
        </w:rPr>
        <w:t>a</w:t>
      </w:r>
      <w:r w:rsidRPr="004C738A">
        <w:rPr>
          <w:rFonts w:ascii="Times New Roman" w:hAnsi="Times New Roman"/>
          <w:sz w:val="24"/>
          <w:szCs w:val="24"/>
        </w:rPr>
        <w:t xml:space="preserve">bei schon Grund für Alarmismus, aber wenn sich die Irritationen häufen, besteht Anlass zur Sorge. </w:t>
      </w:r>
    </w:p>
    <w:p w:rsidR="00E60030" w:rsidRPr="004C738A" w:rsidRDefault="00DA3CAF" w:rsidP="006C3C42">
      <w:pPr>
        <w:rPr>
          <w:rFonts w:ascii="Times New Roman" w:hAnsi="Times New Roman"/>
          <w:sz w:val="24"/>
          <w:szCs w:val="24"/>
        </w:rPr>
      </w:pPr>
      <w:r w:rsidRPr="004C738A">
        <w:rPr>
          <w:rFonts w:ascii="Times New Roman" w:hAnsi="Times New Roman"/>
          <w:sz w:val="24"/>
          <w:szCs w:val="24"/>
        </w:rPr>
        <w:t>So war d</w:t>
      </w:r>
      <w:r w:rsidR="00E60030" w:rsidRPr="004C738A">
        <w:rPr>
          <w:rFonts w:ascii="Times New Roman" w:hAnsi="Times New Roman"/>
          <w:sz w:val="24"/>
          <w:szCs w:val="24"/>
        </w:rPr>
        <w:t xml:space="preserve">ie italienische </w:t>
      </w:r>
      <w:r w:rsidR="00E60030" w:rsidRPr="004C738A">
        <w:rPr>
          <w:rFonts w:ascii="Times New Roman" w:hAnsi="Times New Roman"/>
          <w:i/>
          <w:sz w:val="24"/>
          <w:szCs w:val="24"/>
        </w:rPr>
        <w:t>Corte Costituzionale</w:t>
      </w:r>
      <w:r w:rsidR="00E60030" w:rsidRPr="004C738A">
        <w:rPr>
          <w:rFonts w:ascii="Times New Roman" w:hAnsi="Times New Roman"/>
          <w:sz w:val="24"/>
          <w:szCs w:val="24"/>
        </w:rPr>
        <w:t xml:space="preserve"> im Zuge der Bemühungen um </w:t>
      </w:r>
      <w:r w:rsidRPr="004C738A">
        <w:rPr>
          <w:rFonts w:ascii="Times New Roman" w:hAnsi="Times New Roman"/>
          <w:sz w:val="24"/>
          <w:szCs w:val="24"/>
        </w:rPr>
        <w:t xml:space="preserve">eine </w:t>
      </w:r>
      <w:r w:rsidR="00E60030" w:rsidRPr="004C738A">
        <w:rPr>
          <w:rFonts w:ascii="Times New Roman" w:hAnsi="Times New Roman"/>
          <w:sz w:val="24"/>
          <w:szCs w:val="24"/>
        </w:rPr>
        <w:t>Haushalt</w:t>
      </w:r>
      <w:r w:rsidR="00E60030" w:rsidRPr="004C738A">
        <w:rPr>
          <w:rFonts w:ascii="Times New Roman" w:hAnsi="Times New Roman"/>
          <w:sz w:val="24"/>
          <w:szCs w:val="24"/>
        </w:rPr>
        <w:t>s</w:t>
      </w:r>
      <w:r w:rsidR="00E60030" w:rsidRPr="004C738A">
        <w:rPr>
          <w:rFonts w:ascii="Times New Roman" w:hAnsi="Times New Roman"/>
          <w:sz w:val="24"/>
          <w:szCs w:val="24"/>
        </w:rPr>
        <w:t xml:space="preserve">konsolidierung mehrfach unter – auch medialen </w:t>
      </w:r>
      <w:r w:rsidR="008B427D">
        <w:rPr>
          <w:rFonts w:ascii="Times New Roman" w:hAnsi="Times New Roman"/>
          <w:sz w:val="24"/>
          <w:szCs w:val="24"/>
        </w:rPr>
        <w:t>–</w:t>
      </w:r>
      <w:r w:rsidR="00E60030" w:rsidRPr="004C738A">
        <w:rPr>
          <w:rFonts w:ascii="Times New Roman" w:hAnsi="Times New Roman"/>
          <w:sz w:val="24"/>
          <w:szCs w:val="24"/>
        </w:rPr>
        <w:t xml:space="preserve"> Druck geraten, der im Ergebnis zu</w:t>
      </w:r>
      <w:r w:rsidRPr="004C738A">
        <w:rPr>
          <w:rFonts w:ascii="Times New Roman" w:hAnsi="Times New Roman"/>
          <w:sz w:val="24"/>
          <w:szCs w:val="24"/>
        </w:rPr>
        <w:t xml:space="preserve"> einer</w:t>
      </w:r>
      <w:r w:rsidR="00E60030" w:rsidRPr="004C738A">
        <w:rPr>
          <w:rFonts w:ascii="Times New Roman" w:hAnsi="Times New Roman"/>
          <w:sz w:val="24"/>
          <w:szCs w:val="24"/>
        </w:rPr>
        <w:t xml:space="preserve"> Abschmelzung</w:t>
      </w:r>
      <w:r w:rsidRPr="004C738A">
        <w:rPr>
          <w:rFonts w:ascii="Times New Roman" w:hAnsi="Times New Roman"/>
          <w:sz w:val="24"/>
          <w:szCs w:val="24"/>
        </w:rPr>
        <w:t xml:space="preserve"> von Ausstattung und Bezügen der Richter </w:t>
      </w:r>
      <w:r w:rsidR="00E60030" w:rsidRPr="004C738A">
        <w:rPr>
          <w:rFonts w:ascii="Times New Roman" w:hAnsi="Times New Roman"/>
          <w:sz w:val="24"/>
          <w:szCs w:val="24"/>
        </w:rPr>
        <w:t>geführt hat.</w:t>
      </w:r>
      <w:r w:rsidRPr="004C738A">
        <w:rPr>
          <w:rFonts w:ascii="Times New Roman" w:hAnsi="Times New Roman"/>
          <w:sz w:val="24"/>
          <w:szCs w:val="24"/>
        </w:rPr>
        <w:t xml:space="preserve"> Der Vorgang ist zwar nicht verwerflich, womöglich sogar berechtigt; die Akzeptanz des Gerichts in der Bevölk</w:t>
      </w:r>
      <w:r w:rsidRPr="004C738A">
        <w:rPr>
          <w:rFonts w:ascii="Times New Roman" w:hAnsi="Times New Roman"/>
          <w:sz w:val="24"/>
          <w:szCs w:val="24"/>
        </w:rPr>
        <w:t>e</w:t>
      </w:r>
      <w:r w:rsidRPr="004C738A">
        <w:rPr>
          <w:rFonts w:ascii="Times New Roman" w:hAnsi="Times New Roman"/>
          <w:sz w:val="24"/>
          <w:szCs w:val="24"/>
        </w:rPr>
        <w:t>rung dürfte dies jedoch nicht gestärkt und seine politische Verwundbarkeit erhöht haben.</w:t>
      </w:r>
      <w:r w:rsidR="00E60030" w:rsidRPr="004C738A">
        <w:rPr>
          <w:rFonts w:ascii="Times New Roman" w:hAnsi="Times New Roman"/>
          <w:sz w:val="24"/>
          <w:szCs w:val="24"/>
        </w:rPr>
        <w:t xml:space="preserve"> </w:t>
      </w:r>
      <w:r w:rsidR="0006430F" w:rsidRPr="004C738A">
        <w:rPr>
          <w:rFonts w:ascii="Times New Roman" w:hAnsi="Times New Roman"/>
          <w:sz w:val="24"/>
          <w:szCs w:val="24"/>
        </w:rPr>
        <w:t xml:space="preserve">Auch das </w:t>
      </w:r>
      <w:r w:rsidR="00E60030" w:rsidRPr="004C738A">
        <w:rPr>
          <w:rFonts w:ascii="Times New Roman" w:hAnsi="Times New Roman"/>
          <w:sz w:val="24"/>
          <w:szCs w:val="24"/>
        </w:rPr>
        <w:t xml:space="preserve">Tagebuch </w:t>
      </w:r>
      <w:r w:rsidR="0006430F" w:rsidRPr="004C738A">
        <w:rPr>
          <w:rFonts w:ascii="Times New Roman" w:hAnsi="Times New Roman"/>
          <w:sz w:val="24"/>
          <w:szCs w:val="24"/>
        </w:rPr>
        <w:t xml:space="preserve">von </w:t>
      </w:r>
      <w:r w:rsidR="00E60030" w:rsidRPr="004C738A">
        <w:rPr>
          <w:rFonts w:ascii="Times New Roman" w:hAnsi="Times New Roman"/>
          <w:i/>
          <w:sz w:val="24"/>
          <w:szCs w:val="24"/>
        </w:rPr>
        <w:t>Sabino Cassese</w:t>
      </w:r>
      <w:r w:rsidR="00E60030" w:rsidRPr="004C738A">
        <w:rPr>
          <w:rFonts w:ascii="Times New Roman" w:hAnsi="Times New Roman"/>
          <w:sz w:val="24"/>
          <w:szCs w:val="24"/>
        </w:rPr>
        <w:t xml:space="preserve">, </w:t>
      </w:r>
      <w:r w:rsidR="0006430F" w:rsidRPr="004C738A">
        <w:rPr>
          <w:rFonts w:ascii="Times New Roman" w:hAnsi="Times New Roman"/>
          <w:sz w:val="24"/>
          <w:szCs w:val="24"/>
        </w:rPr>
        <w:t>eines früheren Richters</w:t>
      </w:r>
      <w:r w:rsidR="00E60030" w:rsidRPr="004C738A">
        <w:rPr>
          <w:rFonts w:ascii="Times New Roman" w:hAnsi="Times New Roman"/>
          <w:sz w:val="24"/>
          <w:szCs w:val="24"/>
        </w:rPr>
        <w:t xml:space="preserve">, </w:t>
      </w:r>
      <w:r w:rsidR="0006430F" w:rsidRPr="004C738A">
        <w:rPr>
          <w:rFonts w:ascii="Times New Roman" w:hAnsi="Times New Roman"/>
          <w:sz w:val="24"/>
          <w:szCs w:val="24"/>
        </w:rPr>
        <w:t xml:space="preserve">wirft </w:t>
      </w:r>
      <w:r w:rsidR="00E60030" w:rsidRPr="004C738A">
        <w:rPr>
          <w:rFonts w:ascii="Times New Roman" w:hAnsi="Times New Roman"/>
          <w:sz w:val="24"/>
          <w:szCs w:val="24"/>
        </w:rPr>
        <w:t>ein paar grelle Schla</w:t>
      </w:r>
      <w:r w:rsidR="00E60030" w:rsidRPr="004C738A">
        <w:rPr>
          <w:rFonts w:ascii="Times New Roman" w:hAnsi="Times New Roman"/>
          <w:sz w:val="24"/>
          <w:szCs w:val="24"/>
        </w:rPr>
        <w:t>g</w:t>
      </w:r>
      <w:r w:rsidR="00E60030" w:rsidRPr="004C738A">
        <w:rPr>
          <w:rFonts w:ascii="Times New Roman" w:hAnsi="Times New Roman"/>
          <w:sz w:val="24"/>
          <w:szCs w:val="24"/>
        </w:rPr>
        <w:t>lichter auf das Gericht</w:t>
      </w:r>
      <w:r w:rsidR="0006430F" w:rsidRPr="004C738A">
        <w:rPr>
          <w:rFonts w:ascii="Times New Roman" w:hAnsi="Times New Roman"/>
          <w:sz w:val="24"/>
          <w:szCs w:val="24"/>
        </w:rPr>
        <w:t xml:space="preserve">, die </w:t>
      </w:r>
      <w:r w:rsidR="00E60030" w:rsidRPr="004C738A">
        <w:rPr>
          <w:rFonts w:ascii="Times New Roman" w:hAnsi="Times New Roman"/>
          <w:sz w:val="24"/>
          <w:szCs w:val="24"/>
        </w:rPr>
        <w:t>durchaus delegitimierend wirken könne</w:t>
      </w:r>
      <w:r w:rsidR="0006430F" w:rsidRPr="004C738A">
        <w:rPr>
          <w:rFonts w:ascii="Times New Roman" w:hAnsi="Times New Roman"/>
          <w:sz w:val="24"/>
          <w:szCs w:val="24"/>
        </w:rPr>
        <w:t xml:space="preserve">n. So </w:t>
      </w:r>
      <w:r w:rsidR="00E60030" w:rsidRPr="004C738A">
        <w:rPr>
          <w:rFonts w:ascii="Times New Roman" w:hAnsi="Times New Roman"/>
          <w:sz w:val="24"/>
          <w:szCs w:val="24"/>
        </w:rPr>
        <w:t xml:space="preserve">entfaltet </w:t>
      </w:r>
      <w:r w:rsidR="0006430F" w:rsidRPr="004C738A">
        <w:rPr>
          <w:rFonts w:ascii="Times New Roman" w:hAnsi="Times New Roman"/>
          <w:sz w:val="24"/>
          <w:szCs w:val="24"/>
        </w:rPr>
        <w:t xml:space="preserve">er </w:t>
      </w:r>
      <w:r w:rsidR="00E60030" w:rsidRPr="004C738A">
        <w:rPr>
          <w:rFonts w:ascii="Times New Roman" w:hAnsi="Times New Roman"/>
          <w:sz w:val="24"/>
          <w:szCs w:val="24"/>
        </w:rPr>
        <w:t>etwa</w:t>
      </w:r>
      <w:r w:rsidR="0006430F" w:rsidRPr="004C738A">
        <w:rPr>
          <w:rFonts w:ascii="Times New Roman" w:hAnsi="Times New Roman"/>
          <w:sz w:val="24"/>
          <w:szCs w:val="24"/>
        </w:rPr>
        <w:t xml:space="preserve"> ein wenig</w:t>
      </w:r>
      <w:r w:rsidR="00E60030" w:rsidRPr="004C738A">
        <w:rPr>
          <w:rFonts w:ascii="Times New Roman" w:hAnsi="Times New Roman"/>
          <w:sz w:val="24"/>
          <w:szCs w:val="24"/>
        </w:rPr>
        <w:t xml:space="preserve"> von der hitzigen </w:t>
      </w:r>
      <w:r w:rsidR="0006430F" w:rsidRPr="004C738A">
        <w:rPr>
          <w:rFonts w:ascii="Times New Roman" w:hAnsi="Times New Roman"/>
          <w:sz w:val="24"/>
          <w:szCs w:val="24"/>
        </w:rPr>
        <w:t xml:space="preserve">politischen Atmosphäre </w:t>
      </w:r>
      <w:r w:rsidR="00E60030" w:rsidRPr="004C738A">
        <w:rPr>
          <w:rFonts w:ascii="Times New Roman" w:hAnsi="Times New Roman"/>
          <w:sz w:val="24"/>
          <w:szCs w:val="24"/>
        </w:rPr>
        <w:t xml:space="preserve">zum Ende der Ära </w:t>
      </w:r>
      <w:r w:rsidR="00E60030" w:rsidRPr="004C738A">
        <w:rPr>
          <w:rFonts w:ascii="Times New Roman" w:hAnsi="Times New Roman"/>
          <w:i/>
          <w:sz w:val="24"/>
          <w:szCs w:val="24"/>
        </w:rPr>
        <w:t xml:space="preserve">Berlusconi </w:t>
      </w:r>
      <w:r w:rsidR="00E60030" w:rsidRPr="004C738A">
        <w:rPr>
          <w:rFonts w:ascii="Times New Roman" w:hAnsi="Times New Roman"/>
          <w:sz w:val="24"/>
          <w:szCs w:val="24"/>
        </w:rPr>
        <w:t xml:space="preserve">und von den Schwierigkeiten </w:t>
      </w:r>
      <w:r w:rsidR="0006430F" w:rsidRPr="004C738A">
        <w:rPr>
          <w:rFonts w:ascii="Times New Roman" w:hAnsi="Times New Roman"/>
          <w:sz w:val="24"/>
          <w:szCs w:val="24"/>
        </w:rPr>
        <w:t xml:space="preserve">seines </w:t>
      </w:r>
      <w:r w:rsidR="00E60030" w:rsidRPr="004C738A">
        <w:rPr>
          <w:rFonts w:ascii="Times New Roman" w:hAnsi="Times New Roman"/>
          <w:sz w:val="24"/>
          <w:szCs w:val="24"/>
        </w:rPr>
        <w:t xml:space="preserve">auf dem Quirinalshügel angesiedelten </w:t>
      </w:r>
      <w:r w:rsidR="0006430F" w:rsidRPr="004C738A">
        <w:rPr>
          <w:rFonts w:ascii="Times New Roman" w:hAnsi="Times New Roman"/>
          <w:sz w:val="24"/>
          <w:szCs w:val="24"/>
        </w:rPr>
        <w:t>G</w:t>
      </w:r>
      <w:r w:rsidR="00E60030" w:rsidRPr="004C738A">
        <w:rPr>
          <w:rFonts w:ascii="Times New Roman" w:hAnsi="Times New Roman"/>
          <w:sz w:val="24"/>
          <w:szCs w:val="24"/>
        </w:rPr>
        <w:t>erichts, in den römischen K</w:t>
      </w:r>
      <w:r w:rsidR="00E60030" w:rsidRPr="004C738A">
        <w:rPr>
          <w:rFonts w:ascii="Times New Roman" w:hAnsi="Times New Roman"/>
          <w:sz w:val="24"/>
          <w:szCs w:val="24"/>
        </w:rPr>
        <w:t>a</w:t>
      </w:r>
      <w:r w:rsidR="00E60030" w:rsidRPr="004C738A">
        <w:rPr>
          <w:rFonts w:ascii="Times New Roman" w:hAnsi="Times New Roman"/>
          <w:sz w:val="24"/>
          <w:szCs w:val="24"/>
        </w:rPr>
        <w:lastRenderedPageBreak/>
        <w:t>balen nicht unter die Räder zu kommen. Nicht immer ist dies zur Zufriedenheit des Autors gelungen, nicht selten, so sieht er es, aus sachfremden und eigennützigen Motiven.</w:t>
      </w:r>
      <w:r w:rsidR="00E60030" w:rsidRPr="004C738A">
        <w:rPr>
          <w:rStyle w:val="Funotenzeichen"/>
          <w:rFonts w:ascii="Times New Roman" w:hAnsi="Times New Roman" w:cs="Times New Roman"/>
          <w:sz w:val="24"/>
          <w:szCs w:val="24"/>
        </w:rPr>
        <w:footnoteReference w:id="105"/>
      </w:r>
    </w:p>
    <w:p w:rsidR="00E60030" w:rsidRPr="004C738A" w:rsidRDefault="00E60030" w:rsidP="00E60030">
      <w:pPr>
        <w:rPr>
          <w:rFonts w:ascii="Times New Roman" w:hAnsi="Times New Roman"/>
          <w:sz w:val="24"/>
          <w:szCs w:val="24"/>
        </w:rPr>
      </w:pPr>
    </w:p>
    <w:p w:rsidR="00E60030" w:rsidRPr="004C738A" w:rsidRDefault="00E60030" w:rsidP="00E60030">
      <w:pPr>
        <w:rPr>
          <w:rFonts w:ascii="Times New Roman" w:hAnsi="Times New Roman"/>
          <w:sz w:val="24"/>
          <w:szCs w:val="24"/>
        </w:rPr>
      </w:pPr>
      <w:r w:rsidRPr="004C738A">
        <w:rPr>
          <w:rFonts w:ascii="Times New Roman" w:hAnsi="Times New Roman"/>
          <w:sz w:val="24"/>
          <w:szCs w:val="24"/>
        </w:rPr>
        <w:t xml:space="preserve">In Spanien etwa stellt sich nicht nur das Problem, dass die Rechtsprechung des </w:t>
      </w:r>
      <w:r w:rsidR="0006430F" w:rsidRPr="004C738A">
        <w:rPr>
          <w:rFonts w:ascii="Times New Roman" w:hAnsi="Times New Roman"/>
          <w:i/>
          <w:sz w:val="24"/>
          <w:szCs w:val="24"/>
        </w:rPr>
        <w:t xml:space="preserve">Tribunal Constiucional </w:t>
      </w:r>
      <w:r w:rsidRPr="004C738A">
        <w:rPr>
          <w:rFonts w:ascii="Times New Roman" w:hAnsi="Times New Roman"/>
          <w:sz w:val="24"/>
          <w:szCs w:val="24"/>
        </w:rPr>
        <w:t>zur Einheit des Staates und Sezessionsmöglichkeiten in weiten Teilen Katal</w:t>
      </w:r>
      <w:r w:rsidRPr="004C738A">
        <w:rPr>
          <w:rFonts w:ascii="Times New Roman" w:hAnsi="Times New Roman"/>
          <w:sz w:val="24"/>
          <w:szCs w:val="24"/>
        </w:rPr>
        <w:t>o</w:t>
      </w:r>
      <w:r w:rsidRPr="004C738A">
        <w:rPr>
          <w:rFonts w:ascii="Times New Roman" w:hAnsi="Times New Roman"/>
          <w:sz w:val="24"/>
          <w:szCs w:val="24"/>
        </w:rPr>
        <w:t xml:space="preserve">niens nicht (mehr) akzeptiert wird; es </w:t>
      </w:r>
      <w:r w:rsidR="0006430F" w:rsidRPr="004C738A">
        <w:rPr>
          <w:rFonts w:ascii="Times New Roman" w:hAnsi="Times New Roman"/>
          <w:sz w:val="24"/>
          <w:szCs w:val="24"/>
        </w:rPr>
        <w:t>scheint, so die vernichtende Kritik des Schrifttums</w:t>
      </w:r>
      <w:r w:rsidR="008B427D">
        <w:rPr>
          <w:rFonts w:ascii="Times New Roman" w:hAnsi="Times New Roman"/>
          <w:sz w:val="24"/>
          <w:szCs w:val="24"/>
        </w:rPr>
        <w:t>,</w:t>
      </w:r>
      <w:r w:rsidR="0006430F" w:rsidRPr="004C738A">
        <w:rPr>
          <w:rFonts w:ascii="Times New Roman" w:hAnsi="Times New Roman"/>
          <w:sz w:val="24"/>
          <w:szCs w:val="24"/>
        </w:rPr>
        <w:t xml:space="preserve"> </w:t>
      </w:r>
      <w:r w:rsidRPr="004C738A">
        <w:rPr>
          <w:rFonts w:ascii="Times New Roman" w:hAnsi="Times New Roman"/>
          <w:sz w:val="24"/>
          <w:szCs w:val="24"/>
        </w:rPr>
        <w:t>g</w:t>
      </w:r>
      <w:r w:rsidRPr="004C738A">
        <w:rPr>
          <w:rFonts w:ascii="Times New Roman" w:hAnsi="Times New Roman"/>
          <w:sz w:val="24"/>
          <w:szCs w:val="24"/>
        </w:rPr>
        <w:t>e</w:t>
      </w:r>
      <w:r w:rsidRPr="004C738A">
        <w:rPr>
          <w:rFonts w:ascii="Times New Roman" w:hAnsi="Times New Roman"/>
          <w:sz w:val="24"/>
          <w:szCs w:val="24"/>
        </w:rPr>
        <w:t>nerell Gefahr</w:t>
      </w:r>
      <w:r w:rsidR="0006430F" w:rsidRPr="004C738A">
        <w:rPr>
          <w:rFonts w:ascii="Times New Roman" w:hAnsi="Times New Roman"/>
          <w:sz w:val="24"/>
          <w:szCs w:val="24"/>
        </w:rPr>
        <w:t xml:space="preserve"> zu laufen</w:t>
      </w:r>
      <w:r w:rsidRPr="004C738A">
        <w:rPr>
          <w:rFonts w:ascii="Times New Roman" w:hAnsi="Times New Roman"/>
          <w:sz w:val="24"/>
          <w:szCs w:val="24"/>
        </w:rPr>
        <w:t xml:space="preserve">, seine Schlichtungs- und Integrationsfunktion nicht mehr erfüllen zu können. So schreibt etwa </w:t>
      </w:r>
      <w:r w:rsidRPr="004C738A">
        <w:rPr>
          <w:rFonts w:ascii="Times New Roman" w:hAnsi="Times New Roman"/>
          <w:i/>
          <w:sz w:val="24"/>
          <w:szCs w:val="24"/>
        </w:rPr>
        <w:t xml:space="preserve">Juan Luis Requejo Pagés </w:t>
      </w:r>
      <w:r w:rsidRPr="004C738A">
        <w:rPr>
          <w:rFonts w:ascii="Times New Roman" w:hAnsi="Times New Roman"/>
          <w:sz w:val="24"/>
          <w:szCs w:val="24"/>
        </w:rPr>
        <w:t>in seinem Resümee über die aktuelle Rolle des Gerichts:</w:t>
      </w:r>
    </w:p>
    <w:p w:rsidR="00E60030" w:rsidRPr="004C738A" w:rsidRDefault="00E60030" w:rsidP="00D21E0A">
      <w:pPr>
        <w:pStyle w:val="Zitat"/>
      </w:pPr>
      <w:r w:rsidRPr="004C738A">
        <w:t>„Die Probleme politischer Natur sind sehr viel besorgniserregender als die strukture</w:t>
      </w:r>
      <w:r w:rsidRPr="004C738A">
        <w:t>l</w:t>
      </w:r>
      <w:r w:rsidRPr="004C738A">
        <w:t xml:space="preserve">len Probleme, denn sie stehen mit einem fortschreitenden Autoritätsverlust des </w:t>
      </w:r>
      <w:proofErr w:type="gramStart"/>
      <w:r w:rsidRPr="004C738A">
        <w:rPr>
          <w:i/>
        </w:rPr>
        <w:t>Trib</w:t>
      </w:r>
      <w:r w:rsidRPr="004C738A">
        <w:rPr>
          <w:i/>
        </w:rPr>
        <w:t>u</w:t>
      </w:r>
      <w:r w:rsidRPr="004C738A">
        <w:rPr>
          <w:i/>
        </w:rPr>
        <w:t>nal</w:t>
      </w:r>
      <w:proofErr w:type="gramEnd"/>
      <w:r w:rsidRPr="004C738A">
        <w:t xml:space="preserve"> in Zusammenhang, dessen Ursache und Konsequenz sie zugleich sind. Seine enorme Machtfülle verleiht dem </w:t>
      </w:r>
      <w:r w:rsidRPr="004C738A">
        <w:rPr>
          <w:i/>
        </w:rPr>
        <w:t>Tribunal Constitucional</w:t>
      </w:r>
      <w:r w:rsidRPr="004C738A">
        <w:t xml:space="preserve"> inmitten eines demokrat</w:t>
      </w:r>
      <w:r w:rsidRPr="004C738A">
        <w:t>i</w:t>
      </w:r>
      <w:r w:rsidRPr="004C738A">
        <w:t>schen Staates einen aristokratischen Wesenszug und wird naturgemäß von denjenigen unter Beschuss genommen, die ihr unterworfen sind. Hierzu zählen zweifellos die R</w:t>
      </w:r>
      <w:r w:rsidRPr="004C738A">
        <w:t>e</w:t>
      </w:r>
      <w:r w:rsidRPr="004C738A">
        <w:t>gierungsparteien, aber auch Interessenverbände und politische Gruppierungen inne</w:t>
      </w:r>
      <w:r w:rsidRPr="004C738A">
        <w:t>r</w:t>
      </w:r>
      <w:r w:rsidRPr="004C738A">
        <w:t xml:space="preserve">halb des </w:t>
      </w:r>
      <w:r w:rsidRPr="004C738A">
        <w:rPr>
          <w:i/>
        </w:rPr>
        <w:t>Poder Judicial</w:t>
      </w:r>
      <w:r w:rsidRPr="004C738A">
        <w:t xml:space="preserve"> </w:t>
      </w:r>
      <w:r w:rsidR="00A71E61">
        <w:t>[</w:t>
      </w:r>
      <w:r w:rsidRPr="004C738A">
        <w:t>…</w:t>
      </w:r>
      <w:r w:rsidR="00A71E61">
        <w:t>]</w:t>
      </w:r>
      <w:r w:rsidRPr="004C738A">
        <w:t>“.</w:t>
      </w:r>
      <w:r w:rsidRPr="004C738A">
        <w:rPr>
          <w:rStyle w:val="Funotenzeichen"/>
          <w:rFonts w:ascii="Times New Roman" w:hAnsi="Times New Roman" w:cs="Times New Roman"/>
          <w:sz w:val="24"/>
        </w:rPr>
        <w:footnoteReference w:id="106"/>
      </w:r>
    </w:p>
    <w:p w:rsidR="00E60030" w:rsidRPr="004C738A" w:rsidRDefault="00E60030" w:rsidP="00E60030">
      <w:pPr>
        <w:rPr>
          <w:rFonts w:ascii="Times New Roman" w:hAnsi="Times New Roman"/>
          <w:sz w:val="24"/>
          <w:szCs w:val="24"/>
        </w:rPr>
      </w:pPr>
    </w:p>
    <w:p w:rsidR="00E60030" w:rsidRPr="004C738A" w:rsidRDefault="0006430F" w:rsidP="00E60030">
      <w:pPr>
        <w:rPr>
          <w:rFonts w:ascii="Times New Roman" w:hAnsi="Times New Roman"/>
          <w:sz w:val="24"/>
          <w:szCs w:val="24"/>
        </w:rPr>
      </w:pPr>
      <w:r w:rsidRPr="004C738A">
        <w:rPr>
          <w:rFonts w:ascii="Times New Roman" w:hAnsi="Times New Roman"/>
          <w:sz w:val="24"/>
          <w:szCs w:val="24"/>
        </w:rPr>
        <w:t xml:space="preserve">Selbst </w:t>
      </w:r>
      <w:r w:rsidR="00E60030" w:rsidRPr="004C738A">
        <w:rPr>
          <w:rFonts w:ascii="Times New Roman" w:hAnsi="Times New Roman"/>
          <w:sz w:val="24"/>
          <w:szCs w:val="24"/>
        </w:rPr>
        <w:t xml:space="preserve">das Bundesverfassungsgericht ist </w:t>
      </w:r>
      <w:r w:rsidRPr="004C738A">
        <w:rPr>
          <w:rFonts w:ascii="Times New Roman" w:hAnsi="Times New Roman"/>
          <w:sz w:val="24"/>
          <w:szCs w:val="24"/>
        </w:rPr>
        <w:t>– über die legitime (manchmal auch scheinheilige) Kritik an Entscheidungen etwa zum Kruzifix, zum Kopftuch, zur Sperrklausel bei Europ</w:t>
      </w:r>
      <w:r w:rsidRPr="004C738A">
        <w:rPr>
          <w:rFonts w:ascii="Times New Roman" w:hAnsi="Times New Roman"/>
          <w:sz w:val="24"/>
          <w:szCs w:val="24"/>
        </w:rPr>
        <w:t>a</w:t>
      </w:r>
      <w:r w:rsidRPr="004C738A">
        <w:rPr>
          <w:rFonts w:ascii="Times New Roman" w:hAnsi="Times New Roman"/>
          <w:sz w:val="24"/>
          <w:szCs w:val="24"/>
        </w:rPr>
        <w:t xml:space="preserve">wahlen oder zum Ehegattensplitting für Lebenspartnerschaften hinaus </w:t>
      </w:r>
      <w:r w:rsidR="00651446" w:rsidRPr="004C738A">
        <w:rPr>
          <w:rFonts w:ascii="Times New Roman" w:hAnsi="Times New Roman"/>
          <w:sz w:val="24"/>
          <w:szCs w:val="24"/>
        </w:rPr>
        <w:t>–</w:t>
      </w:r>
      <w:r w:rsidRPr="004C738A">
        <w:rPr>
          <w:rFonts w:ascii="Times New Roman" w:hAnsi="Times New Roman"/>
          <w:sz w:val="24"/>
          <w:szCs w:val="24"/>
        </w:rPr>
        <w:t xml:space="preserve"> </w:t>
      </w:r>
      <w:r w:rsidR="00E60030" w:rsidRPr="004C738A">
        <w:rPr>
          <w:rFonts w:ascii="Times New Roman" w:hAnsi="Times New Roman"/>
          <w:sz w:val="24"/>
          <w:szCs w:val="24"/>
        </w:rPr>
        <w:t>immer wieder A</w:t>
      </w:r>
      <w:r w:rsidR="00E60030" w:rsidRPr="004C738A">
        <w:rPr>
          <w:rFonts w:ascii="Times New Roman" w:hAnsi="Times New Roman"/>
          <w:sz w:val="24"/>
          <w:szCs w:val="24"/>
        </w:rPr>
        <w:t>n</w:t>
      </w:r>
      <w:r w:rsidR="00E60030" w:rsidRPr="004C738A">
        <w:rPr>
          <w:rFonts w:ascii="Times New Roman" w:hAnsi="Times New Roman"/>
          <w:sz w:val="24"/>
          <w:szCs w:val="24"/>
        </w:rPr>
        <w:t xml:space="preserve">feindungen aus dem politischen Raum ausgesetzt, die </w:t>
      </w:r>
      <w:r w:rsidRPr="004C738A">
        <w:rPr>
          <w:rFonts w:ascii="Times New Roman" w:hAnsi="Times New Roman"/>
          <w:sz w:val="24"/>
          <w:szCs w:val="24"/>
        </w:rPr>
        <w:t>mitunter zwar</w:t>
      </w:r>
      <w:r w:rsidR="00E60030" w:rsidRPr="004C738A">
        <w:rPr>
          <w:rFonts w:ascii="Times New Roman" w:hAnsi="Times New Roman"/>
          <w:sz w:val="24"/>
          <w:szCs w:val="24"/>
        </w:rPr>
        <w:t xml:space="preserve"> nicht seine Abschaffung, aber doch eine deutliche Beschneidung seiner Kompetenzen fordern</w:t>
      </w:r>
      <w:r w:rsidR="00E01F68" w:rsidRPr="004C738A">
        <w:rPr>
          <w:rFonts w:ascii="Times New Roman" w:hAnsi="Times New Roman"/>
          <w:sz w:val="24"/>
          <w:szCs w:val="24"/>
        </w:rPr>
        <w:t xml:space="preserve"> oder damit drohen</w:t>
      </w:r>
      <w:r w:rsidR="00E60030" w:rsidRPr="004C738A">
        <w:rPr>
          <w:rFonts w:ascii="Times New Roman" w:hAnsi="Times New Roman"/>
          <w:sz w:val="24"/>
          <w:szCs w:val="24"/>
        </w:rPr>
        <w:t xml:space="preserve">. </w:t>
      </w:r>
      <w:r w:rsidRPr="004C738A">
        <w:rPr>
          <w:rFonts w:ascii="Times New Roman" w:hAnsi="Times New Roman"/>
          <w:i/>
          <w:sz w:val="24"/>
          <w:szCs w:val="24"/>
        </w:rPr>
        <w:t>Norbert Lammert</w:t>
      </w:r>
      <w:r w:rsidR="00E01F68" w:rsidRPr="004C738A">
        <w:rPr>
          <w:rFonts w:ascii="Times New Roman" w:hAnsi="Times New Roman"/>
          <w:sz w:val="24"/>
          <w:szCs w:val="24"/>
        </w:rPr>
        <w:t>,</w:t>
      </w:r>
      <w:r w:rsidR="00E01F68" w:rsidRPr="004C738A">
        <w:rPr>
          <w:rStyle w:val="Funotenzeichen"/>
          <w:rFonts w:ascii="Times New Roman" w:hAnsi="Times New Roman" w:cs="Times New Roman"/>
          <w:sz w:val="24"/>
          <w:szCs w:val="24"/>
        </w:rPr>
        <w:footnoteReference w:id="107"/>
      </w:r>
      <w:r w:rsidR="00E01F68" w:rsidRPr="004C738A">
        <w:rPr>
          <w:rFonts w:ascii="Times New Roman" w:hAnsi="Times New Roman"/>
          <w:sz w:val="24"/>
          <w:szCs w:val="24"/>
        </w:rPr>
        <w:t xml:space="preserve"> </w:t>
      </w:r>
      <w:r w:rsidR="00E01F68" w:rsidRPr="004C738A">
        <w:rPr>
          <w:rFonts w:ascii="Times New Roman" w:hAnsi="Times New Roman"/>
          <w:i/>
          <w:sz w:val="24"/>
          <w:szCs w:val="24"/>
        </w:rPr>
        <w:t>Wolfgang Schäuble</w:t>
      </w:r>
      <w:r w:rsidRPr="004C738A">
        <w:rPr>
          <w:rFonts w:ascii="Times New Roman" w:hAnsi="Times New Roman"/>
          <w:sz w:val="24"/>
          <w:szCs w:val="24"/>
        </w:rPr>
        <w:t xml:space="preserve"> und andere haben sich hier</w:t>
      </w:r>
      <w:r w:rsidR="00E01F68" w:rsidRPr="004C738A">
        <w:rPr>
          <w:rFonts w:ascii="Times New Roman" w:hAnsi="Times New Roman"/>
          <w:sz w:val="24"/>
          <w:szCs w:val="24"/>
        </w:rPr>
        <w:t xml:space="preserve"> besonders hervorgetan und dabei in Teilen des Schrifttums allzu bereitwillige Schützenhilfe gefunden.</w:t>
      </w:r>
      <w:r w:rsidR="00E01F68" w:rsidRPr="004C738A">
        <w:rPr>
          <w:rStyle w:val="Funotenzeichen"/>
          <w:rFonts w:ascii="Times New Roman" w:hAnsi="Times New Roman" w:cs="Times New Roman"/>
          <w:sz w:val="24"/>
          <w:szCs w:val="24"/>
        </w:rPr>
        <w:footnoteReference w:id="108"/>
      </w:r>
      <w:r w:rsidRPr="004C738A">
        <w:rPr>
          <w:rFonts w:ascii="Times New Roman" w:hAnsi="Times New Roman"/>
          <w:sz w:val="24"/>
          <w:szCs w:val="24"/>
        </w:rPr>
        <w:t xml:space="preserve"> </w:t>
      </w:r>
    </w:p>
    <w:p w:rsidR="00E60030" w:rsidRPr="004C738A" w:rsidRDefault="00E60030" w:rsidP="00E60030">
      <w:pPr>
        <w:rPr>
          <w:rFonts w:ascii="Times New Roman" w:hAnsi="Times New Roman"/>
          <w:sz w:val="24"/>
          <w:szCs w:val="24"/>
        </w:rPr>
      </w:pPr>
    </w:p>
    <w:p w:rsidR="00E60030" w:rsidRPr="004C738A" w:rsidRDefault="00E60030" w:rsidP="00E60030">
      <w:pPr>
        <w:rPr>
          <w:rFonts w:ascii="Times New Roman" w:hAnsi="Times New Roman"/>
          <w:sz w:val="24"/>
          <w:szCs w:val="24"/>
        </w:rPr>
      </w:pPr>
      <w:r w:rsidRPr="004C738A">
        <w:rPr>
          <w:rFonts w:ascii="Times New Roman" w:hAnsi="Times New Roman"/>
          <w:sz w:val="24"/>
          <w:szCs w:val="24"/>
        </w:rPr>
        <w:t xml:space="preserve">Es wäre naiv, anzunehmen, dass die europäischen Verfassungsgerichte – </w:t>
      </w:r>
      <w:r w:rsidR="00E01F68" w:rsidRPr="004C738A">
        <w:rPr>
          <w:rFonts w:ascii="Times New Roman" w:hAnsi="Times New Roman"/>
          <w:sz w:val="24"/>
          <w:szCs w:val="24"/>
        </w:rPr>
        <w:t xml:space="preserve">EuGH </w:t>
      </w:r>
      <w:r w:rsidRPr="004C738A">
        <w:rPr>
          <w:rFonts w:ascii="Times New Roman" w:hAnsi="Times New Roman"/>
          <w:sz w:val="24"/>
          <w:szCs w:val="24"/>
        </w:rPr>
        <w:t>und EGMR – vor vergleichbaren Risiken gefeit wären. Sie sind im öffentlichen Bewusstsein der Regiere</w:t>
      </w:r>
      <w:r w:rsidRPr="004C738A">
        <w:rPr>
          <w:rFonts w:ascii="Times New Roman" w:hAnsi="Times New Roman"/>
          <w:sz w:val="24"/>
          <w:szCs w:val="24"/>
        </w:rPr>
        <w:t>n</w:t>
      </w:r>
      <w:r w:rsidRPr="004C738A">
        <w:rPr>
          <w:rFonts w:ascii="Times New Roman" w:hAnsi="Times New Roman"/>
          <w:sz w:val="24"/>
          <w:szCs w:val="24"/>
        </w:rPr>
        <w:t xml:space="preserve">den nicht immer so präsent, wie die unmittelbar in die nationalen Gewaltenteilungsgefüge eingebundenen Verfassungs- und Höchstgerichte. In dem Maße, in dem sie Aufmerksamkeit auf sich ziehen, produzieren sie aber auch Widerstände. </w:t>
      </w:r>
    </w:p>
    <w:p w:rsidR="00E60030" w:rsidRPr="004C738A" w:rsidRDefault="00E60030">
      <w:pPr>
        <w:rPr>
          <w:rFonts w:ascii="Times New Roman" w:eastAsiaTheme="minorHAnsi" w:hAnsi="Times New Roman"/>
          <w:sz w:val="24"/>
          <w:szCs w:val="24"/>
          <w:lang w:eastAsia="en-US"/>
        </w:rPr>
      </w:pPr>
    </w:p>
    <w:p w:rsidR="00E01F68" w:rsidRPr="004C738A" w:rsidRDefault="00E01F68" w:rsidP="00E01F68">
      <w:pPr>
        <w:rPr>
          <w:rFonts w:ascii="Times New Roman" w:eastAsiaTheme="minorHAnsi" w:hAnsi="Times New Roman"/>
          <w:sz w:val="24"/>
          <w:szCs w:val="24"/>
          <w:lang w:eastAsia="en-US"/>
        </w:rPr>
      </w:pPr>
      <w:r w:rsidRPr="004C738A">
        <w:rPr>
          <w:rFonts w:ascii="Times New Roman" w:eastAsiaTheme="minorHAnsi" w:hAnsi="Times New Roman"/>
          <w:sz w:val="24"/>
          <w:szCs w:val="24"/>
          <w:lang w:eastAsia="en-US"/>
        </w:rPr>
        <w:t xml:space="preserve">Die Geschwindigkeit, mit der </w:t>
      </w:r>
      <w:r w:rsidR="00651446" w:rsidRPr="004C738A">
        <w:rPr>
          <w:rFonts w:ascii="Times New Roman" w:eastAsiaTheme="minorHAnsi" w:hAnsi="Times New Roman"/>
          <w:sz w:val="24"/>
          <w:szCs w:val="24"/>
          <w:lang w:eastAsia="en-US"/>
        </w:rPr>
        <w:t xml:space="preserve">der </w:t>
      </w:r>
      <w:r w:rsidRPr="004C738A">
        <w:rPr>
          <w:rFonts w:ascii="Times New Roman" w:eastAsiaTheme="minorHAnsi" w:hAnsi="Times New Roman"/>
          <w:sz w:val="24"/>
          <w:szCs w:val="24"/>
          <w:lang w:eastAsia="en-US"/>
        </w:rPr>
        <w:t>Umbau eines demokratischen Rechtsstaates in eine autorit</w:t>
      </w:r>
      <w:r w:rsidRPr="004C738A">
        <w:rPr>
          <w:rFonts w:ascii="Times New Roman" w:eastAsiaTheme="minorHAnsi" w:hAnsi="Times New Roman"/>
          <w:sz w:val="24"/>
          <w:szCs w:val="24"/>
          <w:lang w:eastAsia="en-US"/>
        </w:rPr>
        <w:t>ä</w:t>
      </w:r>
      <w:r w:rsidRPr="004C738A">
        <w:rPr>
          <w:rFonts w:ascii="Times New Roman" w:eastAsiaTheme="minorHAnsi" w:hAnsi="Times New Roman"/>
          <w:sz w:val="24"/>
          <w:szCs w:val="24"/>
          <w:lang w:eastAsia="en-US"/>
        </w:rPr>
        <w:t>re Herrschaft möglich ist, die Einsicht, dass der „</w:t>
      </w:r>
      <w:r w:rsidRPr="004C738A">
        <w:rPr>
          <w:rFonts w:ascii="Times New Roman" w:eastAsiaTheme="minorHAnsi" w:hAnsi="Times New Roman"/>
          <w:i/>
          <w:sz w:val="24"/>
          <w:szCs w:val="24"/>
          <w:lang w:eastAsia="en-US"/>
        </w:rPr>
        <w:t>slippery slope</w:t>
      </w:r>
      <w:r w:rsidRPr="004C738A">
        <w:rPr>
          <w:rFonts w:ascii="Times New Roman" w:eastAsiaTheme="minorHAnsi" w:hAnsi="Times New Roman"/>
          <w:sz w:val="24"/>
          <w:szCs w:val="24"/>
          <w:lang w:eastAsia="en-US"/>
        </w:rPr>
        <w:t xml:space="preserve">“ zu einem Systemumbruch </w:t>
      </w:r>
      <w:r w:rsidRPr="004C738A">
        <w:rPr>
          <w:rFonts w:ascii="Times New Roman" w:eastAsiaTheme="minorHAnsi" w:hAnsi="Times New Roman"/>
          <w:sz w:val="24"/>
          <w:szCs w:val="24"/>
          <w:lang w:eastAsia="en-US"/>
        </w:rPr>
        <w:lastRenderedPageBreak/>
        <w:t>schon mit der Einführung für sich genommen unspektakulärer, häufig technisch anmutender, in der ein oder anderen Form auch in anderen Staaten nachweisbarer Regeln beschritten we</w:t>
      </w:r>
      <w:r w:rsidRPr="004C738A">
        <w:rPr>
          <w:rFonts w:ascii="Times New Roman" w:eastAsiaTheme="minorHAnsi" w:hAnsi="Times New Roman"/>
          <w:sz w:val="24"/>
          <w:szCs w:val="24"/>
          <w:lang w:eastAsia="en-US"/>
        </w:rPr>
        <w:t>r</w:t>
      </w:r>
      <w:r w:rsidRPr="004C738A">
        <w:rPr>
          <w:rFonts w:ascii="Times New Roman" w:eastAsiaTheme="minorHAnsi" w:hAnsi="Times New Roman"/>
          <w:sz w:val="24"/>
          <w:szCs w:val="24"/>
          <w:lang w:eastAsia="en-US"/>
        </w:rPr>
        <w:t>den kann, sollte auch bei uns das Bewusstsein für die Verletzlichkeit unserer an sich wehrha</w:t>
      </w:r>
      <w:r w:rsidRPr="004C738A">
        <w:rPr>
          <w:rFonts w:ascii="Times New Roman" w:eastAsiaTheme="minorHAnsi" w:hAnsi="Times New Roman"/>
          <w:sz w:val="24"/>
          <w:szCs w:val="24"/>
          <w:lang w:eastAsia="en-US"/>
        </w:rPr>
        <w:t>f</w:t>
      </w:r>
      <w:r w:rsidRPr="004C738A">
        <w:rPr>
          <w:rFonts w:ascii="Times New Roman" w:eastAsiaTheme="minorHAnsi" w:hAnsi="Times New Roman"/>
          <w:sz w:val="24"/>
          <w:szCs w:val="24"/>
          <w:lang w:eastAsia="en-US"/>
        </w:rPr>
        <w:t xml:space="preserve">ten Verfassungsordnung schärfen. </w:t>
      </w:r>
    </w:p>
    <w:p w:rsidR="00211D1F" w:rsidRPr="004C738A" w:rsidRDefault="00211D1F" w:rsidP="006C3C42">
      <w:pPr>
        <w:rPr>
          <w:rFonts w:ascii="Times New Roman" w:eastAsiaTheme="minorHAnsi" w:hAnsi="Times New Roman"/>
          <w:sz w:val="24"/>
          <w:szCs w:val="24"/>
          <w:lang w:eastAsia="en-US"/>
        </w:rPr>
      </w:pPr>
    </w:p>
    <w:sectPr w:rsidR="00211D1F" w:rsidRPr="004C738A" w:rsidSect="00303D79">
      <w:headerReference w:type="defaul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C5F" w:rsidRDefault="00E26C5F" w:rsidP="008447B6">
      <w:pPr>
        <w:spacing w:line="240" w:lineRule="auto"/>
      </w:pPr>
      <w:r>
        <w:separator/>
      </w:r>
    </w:p>
  </w:endnote>
  <w:endnote w:type="continuationSeparator" w:id="0">
    <w:p w:rsidR="00E26C5F" w:rsidRDefault="00E26C5F" w:rsidP="00844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C5F" w:rsidRDefault="00E26C5F" w:rsidP="008447B6">
      <w:pPr>
        <w:spacing w:line="240" w:lineRule="auto"/>
      </w:pPr>
      <w:r>
        <w:separator/>
      </w:r>
    </w:p>
  </w:footnote>
  <w:footnote w:type="continuationSeparator" w:id="0">
    <w:p w:rsidR="00E26C5F" w:rsidRDefault="00E26C5F" w:rsidP="008447B6">
      <w:pPr>
        <w:spacing w:line="240" w:lineRule="auto"/>
      </w:pPr>
      <w:r>
        <w:continuationSeparator/>
      </w:r>
    </w:p>
  </w:footnote>
  <w:footnote w:id="1">
    <w:p w:rsidR="000640CE" w:rsidRPr="00372388" w:rsidRDefault="000640CE">
      <w:pPr>
        <w:pStyle w:val="Funotentext"/>
        <w:rPr>
          <w:rFonts w:ascii="Times New Roman" w:hAnsi="Times New Roman"/>
          <w:lang w:val="en-US"/>
        </w:rPr>
      </w:pPr>
      <w:r w:rsidRPr="00372388">
        <w:rPr>
          <w:rStyle w:val="Funotenzeichen"/>
          <w:rFonts w:ascii="Times New Roman" w:hAnsi="Times New Roman" w:cs="Times New Roman"/>
        </w:rPr>
        <w:footnoteRef/>
      </w:r>
      <w:r w:rsidRPr="00372388">
        <w:rPr>
          <w:rFonts w:ascii="Times New Roman" w:hAnsi="Times New Roman"/>
          <w:lang w:val="en-US"/>
        </w:rPr>
        <w:t xml:space="preserve"> </w:t>
      </w:r>
      <w:r w:rsidRPr="00372388">
        <w:rPr>
          <w:rFonts w:ascii="Times New Roman" w:hAnsi="Times New Roman"/>
          <w:i/>
          <w:lang w:val="en-US"/>
        </w:rPr>
        <w:t>F. Fukuyama</w:t>
      </w:r>
      <w:r w:rsidRPr="00372388">
        <w:rPr>
          <w:rFonts w:ascii="Times New Roman" w:hAnsi="Times New Roman"/>
          <w:lang w:val="en-US"/>
        </w:rPr>
        <w:t xml:space="preserve">, </w:t>
      </w:r>
      <w:proofErr w:type="gramStart"/>
      <w:r w:rsidRPr="00372388">
        <w:rPr>
          <w:rFonts w:ascii="Times New Roman" w:hAnsi="Times New Roman"/>
          <w:lang w:val="en-US"/>
        </w:rPr>
        <w:t>The</w:t>
      </w:r>
      <w:proofErr w:type="gramEnd"/>
      <w:r w:rsidRPr="00372388">
        <w:rPr>
          <w:rFonts w:ascii="Times New Roman" w:hAnsi="Times New Roman"/>
          <w:lang w:val="en-US"/>
        </w:rPr>
        <w:t xml:space="preserve"> End of History and the last Man, Harmondsworth</w:t>
      </w:r>
      <w:r>
        <w:rPr>
          <w:rFonts w:ascii="Times New Roman" w:hAnsi="Times New Roman"/>
          <w:lang w:val="en-US"/>
        </w:rPr>
        <w:t xml:space="preserve"> (1992),</w:t>
      </w:r>
      <w:r w:rsidRPr="00372388">
        <w:rPr>
          <w:rFonts w:ascii="Times New Roman" w:hAnsi="Times New Roman"/>
          <w:lang w:val="en-US"/>
        </w:rPr>
        <w:t xml:space="preserve"> 2006.</w:t>
      </w:r>
    </w:p>
  </w:footnote>
  <w:footnote w:id="2">
    <w:p w:rsidR="000640CE" w:rsidRPr="00372388" w:rsidRDefault="000640CE">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Zum Begriff </w:t>
      </w:r>
      <w:r w:rsidRPr="00372388">
        <w:rPr>
          <w:rFonts w:ascii="Times New Roman" w:hAnsi="Times New Roman"/>
          <w:i/>
        </w:rPr>
        <w:t>A. v. Bogdandy/P. Cruz Villalón/P. M. Huber</w:t>
      </w:r>
      <w:r w:rsidRPr="00372388">
        <w:rPr>
          <w:rFonts w:ascii="Times New Roman" w:hAnsi="Times New Roman"/>
        </w:rPr>
        <w:t>, in: dies. (Hrsg.), IPE I, 2007, Vorwort V.</w:t>
      </w:r>
    </w:p>
  </w:footnote>
  <w:footnote w:id="3">
    <w:p w:rsidR="000640CE" w:rsidRPr="00372388" w:rsidRDefault="000640CE">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Zur entsprechenden Charakterisierung der EU BVerfGE 142, 123 (196 Rn. 140) – OMT.</w:t>
      </w:r>
    </w:p>
  </w:footnote>
  <w:footnote w:id="4">
    <w:p w:rsidR="000640CE" w:rsidRPr="00372388" w:rsidRDefault="000640CE" w:rsidP="007E593B">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w:t>
      </w:r>
      <w:r w:rsidRPr="00372388">
        <w:rPr>
          <w:rFonts w:ascii="Times New Roman" w:hAnsi="Times New Roman"/>
          <w:i/>
        </w:rPr>
        <w:t>C. de Montesquieu,</w:t>
      </w:r>
      <w:r w:rsidRPr="00372388">
        <w:rPr>
          <w:rFonts w:ascii="Times New Roman" w:hAnsi="Times New Roman"/>
        </w:rPr>
        <w:t xml:space="preserve"> De l’Esprit de Loi, 1748, Livre XI, Chap. 6, enthalten in: Montesquieu, Oeuvres complètes (hrsg. von R. Caillois), Bd. 2, Paris 1951, S. 401.</w:t>
      </w:r>
    </w:p>
  </w:footnote>
  <w:footnote w:id="5">
    <w:p w:rsidR="000640CE" w:rsidRPr="00372388" w:rsidRDefault="000640CE" w:rsidP="009E75DE">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w:t>
      </w:r>
      <w:r w:rsidRPr="00372388">
        <w:rPr>
          <w:rFonts w:ascii="Times New Roman" w:hAnsi="Times New Roman"/>
          <w:i/>
        </w:rPr>
        <w:t>P. M. Huber</w:t>
      </w:r>
      <w:r w:rsidRPr="00372388">
        <w:rPr>
          <w:rFonts w:ascii="Times New Roman" w:hAnsi="Times New Roman"/>
        </w:rPr>
        <w:t>, Verfassungsstaat und Finanzkrise, 2014, S. 38.</w:t>
      </w:r>
    </w:p>
  </w:footnote>
  <w:footnote w:id="6">
    <w:p w:rsidR="000640CE" w:rsidRPr="00372388" w:rsidRDefault="000640CE" w:rsidP="006D0400">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w:t>
      </w:r>
      <w:r w:rsidRPr="00372388">
        <w:rPr>
          <w:rFonts w:ascii="Times New Roman" w:hAnsi="Times New Roman"/>
          <w:i/>
        </w:rPr>
        <w:t>László Sólyom</w:t>
      </w:r>
      <w:r w:rsidRPr="00372388">
        <w:rPr>
          <w:rFonts w:ascii="Times New Roman" w:hAnsi="Times New Roman"/>
        </w:rPr>
        <w:t>, Das ungarische Verfassungsgericht, in: v. Bogdandy/Grabenwarter/Huber (Hrsg.), IPE VI, 2015, §</w:t>
      </w:r>
      <w:r>
        <w:rPr>
          <w:rFonts w:ascii="Times New Roman" w:hAnsi="Times New Roman"/>
        </w:rPr>
        <w:t> </w:t>
      </w:r>
      <w:r w:rsidRPr="00372388">
        <w:rPr>
          <w:rFonts w:ascii="Times New Roman" w:hAnsi="Times New Roman"/>
        </w:rPr>
        <w:t>107 Rn. 44.</w:t>
      </w:r>
    </w:p>
  </w:footnote>
  <w:footnote w:id="7">
    <w:p w:rsidR="000640CE" w:rsidRPr="00372388" w:rsidRDefault="000640CE" w:rsidP="006D0400">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Vom Verfassungsgericht wurde dies allerdings im Ansatz unterlaufen, vgl. etwa Entscheidung 22/2012 AB.</w:t>
      </w:r>
    </w:p>
  </w:footnote>
  <w:footnote w:id="8">
    <w:p w:rsidR="000640CE" w:rsidRPr="00372388" w:rsidRDefault="000640CE" w:rsidP="006D0400">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Eingeführt wurde allerdings die Urteilsverfassungsbeschwerde.</w:t>
      </w:r>
    </w:p>
  </w:footnote>
  <w:footnote w:id="9">
    <w:p w:rsidR="000640CE" w:rsidRPr="00372388" w:rsidRDefault="000640CE" w:rsidP="006D0400">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w:t>
      </w:r>
      <w:r w:rsidRPr="00372388">
        <w:rPr>
          <w:rFonts w:ascii="Times New Roman" w:hAnsi="Times New Roman"/>
          <w:i/>
        </w:rPr>
        <w:t>Sólyom</w:t>
      </w:r>
      <w:r w:rsidRPr="00372388">
        <w:rPr>
          <w:rFonts w:ascii="Times New Roman" w:hAnsi="Times New Roman"/>
        </w:rPr>
        <w:t xml:space="preserve"> (Fn. 6), § 107 Rn. 45.</w:t>
      </w:r>
    </w:p>
  </w:footnote>
  <w:footnote w:id="10">
    <w:p w:rsidR="000640CE" w:rsidRPr="00372388" w:rsidRDefault="000640CE" w:rsidP="00392254">
      <w:pPr>
        <w:pStyle w:val="Funotentext"/>
        <w:rPr>
          <w:rFonts w:ascii="Times New Roman" w:hAnsi="Times New Roman"/>
          <w:lang w:val="en-US"/>
        </w:rPr>
      </w:pPr>
      <w:r w:rsidRPr="00372388">
        <w:rPr>
          <w:rStyle w:val="Funotenzeichen"/>
          <w:rFonts w:ascii="Times New Roman" w:hAnsi="Times New Roman" w:cs="Times New Roman"/>
        </w:rPr>
        <w:footnoteRef/>
      </w:r>
      <w:r w:rsidRPr="00372388">
        <w:rPr>
          <w:rFonts w:ascii="Times New Roman" w:hAnsi="Times New Roman"/>
        </w:rPr>
        <w:t xml:space="preserve"> Stellungnahme der Venedig-Kommission, Opinion no. 621/2011 v. 20. </w:t>
      </w:r>
      <w:r w:rsidRPr="00D00EED">
        <w:rPr>
          <w:rFonts w:ascii="Times New Roman" w:hAnsi="Times New Roman"/>
          <w:lang w:val="en-US"/>
        </w:rPr>
        <w:t xml:space="preserve">Juni 2011, On the New Consititution of Hungary, </w:t>
      </w:r>
      <w:r w:rsidRPr="00372388">
        <w:rPr>
          <w:rFonts w:ascii="Times New Roman" w:hAnsi="Times New Roman"/>
          <w:lang w:val="en-US"/>
        </w:rPr>
        <w:t>S.</w:t>
      </w:r>
      <w:r>
        <w:rPr>
          <w:rFonts w:ascii="Times New Roman" w:hAnsi="Times New Roman"/>
          <w:lang w:val="en-US"/>
        </w:rPr>
        <w:t> </w:t>
      </w:r>
      <w:r w:rsidRPr="00372388">
        <w:rPr>
          <w:rFonts w:ascii="Times New Roman" w:hAnsi="Times New Roman"/>
          <w:lang w:val="en-US"/>
        </w:rPr>
        <w:t>19</w:t>
      </w:r>
      <w:r>
        <w:rPr>
          <w:rFonts w:ascii="Times New Roman" w:hAnsi="Times New Roman"/>
          <w:lang w:val="en-US"/>
        </w:rPr>
        <w:t> </w:t>
      </w:r>
      <w:r w:rsidRPr="00372388">
        <w:rPr>
          <w:rFonts w:ascii="Times New Roman" w:hAnsi="Times New Roman"/>
          <w:lang w:val="en-US"/>
        </w:rPr>
        <w:t>f.</w:t>
      </w:r>
    </w:p>
  </w:footnote>
  <w:footnote w:id="11">
    <w:p w:rsidR="000640CE" w:rsidRPr="00372388" w:rsidRDefault="000640CE" w:rsidP="00392254">
      <w:pPr>
        <w:pStyle w:val="Funotentext"/>
        <w:rPr>
          <w:rFonts w:ascii="Times New Roman" w:hAnsi="Times New Roman"/>
          <w:lang w:val="en-US"/>
        </w:rPr>
      </w:pPr>
      <w:r w:rsidRPr="00372388">
        <w:rPr>
          <w:rStyle w:val="Funotenzeichen"/>
          <w:rFonts w:ascii="Times New Roman" w:hAnsi="Times New Roman" w:cs="Times New Roman"/>
        </w:rPr>
        <w:footnoteRef/>
      </w:r>
      <w:r w:rsidRPr="00372388">
        <w:rPr>
          <w:rFonts w:ascii="Times New Roman" w:hAnsi="Times New Roman"/>
          <w:lang w:val="en-US"/>
        </w:rPr>
        <w:t xml:space="preserve"> </w:t>
      </w:r>
      <w:proofErr w:type="gramStart"/>
      <w:r w:rsidRPr="00372388">
        <w:rPr>
          <w:rFonts w:ascii="Times New Roman" w:hAnsi="Times New Roman"/>
          <w:i/>
          <w:lang w:val="en-US"/>
        </w:rPr>
        <w:t xml:space="preserve">Sólyom </w:t>
      </w:r>
      <w:r w:rsidRPr="00372388">
        <w:rPr>
          <w:rFonts w:ascii="Times New Roman" w:hAnsi="Times New Roman"/>
          <w:lang w:val="en-US"/>
        </w:rPr>
        <w:t>(Fn. 6), § 107 Rn. 71.</w:t>
      </w:r>
      <w:proofErr w:type="gramEnd"/>
    </w:p>
  </w:footnote>
  <w:footnote w:id="12">
    <w:p w:rsidR="000640CE" w:rsidRPr="00E03B15" w:rsidRDefault="000640CE" w:rsidP="00392254">
      <w:pPr>
        <w:pStyle w:val="Funotentext"/>
        <w:rPr>
          <w:rFonts w:ascii="Times New Roman" w:hAnsi="Times New Roman"/>
          <w:lang w:val="en-US"/>
        </w:rPr>
      </w:pPr>
      <w:r w:rsidRPr="00372388">
        <w:rPr>
          <w:rStyle w:val="Funotenzeichen"/>
          <w:rFonts w:ascii="Times New Roman" w:hAnsi="Times New Roman" w:cs="Times New Roman"/>
        </w:rPr>
        <w:footnoteRef/>
      </w:r>
      <w:r w:rsidRPr="00E03B15">
        <w:rPr>
          <w:rFonts w:ascii="Times New Roman" w:hAnsi="Times New Roman"/>
          <w:lang w:val="en-US"/>
        </w:rPr>
        <w:t xml:space="preserve"> </w:t>
      </w:r>
      <w:proofErr w:type="gramStart"/>
      <w:r w:rsidRPr="00E03B15">
        <w:rPr>
          <w:rFonts w:ascii="Times New Roman" w:hAnsi="Times New Roman"/>
          <w:i/>
          <w:lang w:val="en-US"/>
        </w:rPr>
        <w:t xml:space="preserve">Sólyom </w:t>
      </w:r>
      <w:r w:rsidRPr="00E03B15">
        <w:rPr>
          <w:rFonts w:ascii="Times New Roman" w:hAnsi="Times New Roman"/>
          <w:lang w:val="en-US"/>
        </w:rPr>
        <w:t>(Fn. 6), § 107 Rn. 43.</w:t>
      </w:r>
      <w:proofErr w:type="gramEnd"/>
    </w:p>
  </w:footnote>
  <w:footnote w:id="13">
    <w:p w:rsidR="000640CE" w:rsidRPr="00372388" w:rsidRDefault="000640CE" w:rsidP="006D0400">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EuGH, Urteil vom 6. November 2012, Rs. C-286/12, ECLI:EU:C:2012:687 – </w:t>
      </w:r>
      <w:r w:rsidRPr="001D75DC">
        <w:rPr>
          <w:rFonts w:ascii="Times New Roman" w:hAnsi="Times New Roman"/>
          <w:i/>
        </w:rPr>
        <w:t>Kommission/Ungarn</w:t>
      </w:r>
      <w:r w:rsidRPr="00372388">
        <w:rPr>
          <w:rFonts w:ascii="Times New Roman" w:hAnsi="Times New Roman"/>
        </w:rPr>
        <w:t xml:space="preserve">. </w:t>
      </w:r>
    </w:p>
  </w:footnote>
  <w:footnote w:id="14">
    <w:p w:rsidR="000640CE" w:rsidRPr="00372388" w:rsidRDefault="000640CE" w:rsidP="006D0400">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EGMR, Urteil vom 27. Mai 2014, Nr. 20261/12 – </w:t>
      </w:r>
      <w:r w:rsidRPr="001D75DC">
        <w:rPr>
          <w:rFonts w:ascii="Times New Roman" w:hAnsi="Times New Roman"/>
          <w:i/>
        </w:rPr>
        <w:t>Baka/Ungarn</w:t>
      </w:r>
      <w:r w:rsidRPr="00372388">
        <w:rPr>
          <w:rFonts w:ascii="Times New Roman" w:hAnsi="Times New Roman"/>
        </w:rPr>
        <w:t>.</w:t>
      </w:r>
    </w:p>
  </w:footnote>
  <w:footnote w:id="15">
    <w:p w:rsidR="000640CE" w:rsidRPr="00372388" w:rsidRDefault="000640CE">
      <w:pPr>
        <w:pStyle w:val="Funotentext"/>
        <w:rPr>
          <w:rFonts w:ascii="Times New Roman" w:hAnsi="Times New Roman"/>
          <w:lang w:val="en-US"/>
        </w:rPr>
      </w:pPr>
      <w:r w:rsidRPr="00372388">
        <w:rPr>
          <w:rStyle w:val="Funotenzeichen"/>
          <w:rFonts w:ascii="Times New Roman" w:hAnsi="Times New Roman" w:cs="Times New Roman"/>
        </w:rPr>
        <w:footnoteRef/>
      </w:r>
      <w:r w:rsidRPr="00372388">
        <w:rPr>
          <w:rFonts w:ascii="Times New Roman" w:hAnsi="Times New Roman"/>
          <w:lang w:val="en-US"/>
        </w:rPr>
        <w:t xml:space="preserve"> </w:t>
      </w:r>
      <w:proofErr w:type="gramStart"/>
      <w:r w:rsidRPr="00372388">
        <w:rPr>
          <w:rFonts w:ascii="Times New Roman" w:hAnsi="Times New Roman"/>
          <w:lang w:val="en-US"/>
        </w:rPr>
        <w:t>The Seattle Times, 22.</w:t>
      </w:r>
      <w:proofErr w:type="gramEnd"/>
      <w:r w:rsidRPr="00372388">
        <w:rPr>
          <w:rFonts w:ascii="Times New Roman" w:hAnsi="Times New Roman"/>
          <w:lang w:val="en-US"/>
        </w:rPr>
        <w:t xml:space="preserve"> July 2017, </w:t>
      </w:r>
      <w:r w:rsidRPr="00372388">
        <w:rPr>
          <w:rFonts w:ascii="Times New Roman" w:hAnsi="Times New Roman"/>
          <w:bCs/>
          <w:lang w:val="en-US"/>
        </w:rPr>
        <w:t>Hungary’s leader: EU and Soros seek to “Muslimize” Europe.</w:t>
      </w:r>
    </w:p>
  </w:footnote>
  <w:footnote w:id="16">
    <w:p w:rsidR="000640CE" w:rsidRPr="00372388" w:rsidRDefault="000640CE" w:rsidP="006D0400">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Zum Ablauf siehe </w:t>
      </w:r>
      <w:r w:rsidRPr="00372388">
        <w:rPr>
          <w:rFonts w:ascii="Times New Roman" w:hAnsi="Times New Roman"/>
          <w:i/>
        </w:rPr>
        <w:t>A. Voßkuhle</w:t>
      </w:r>
      <w:r w:rsidRPr="00372388">
        <w:rPr>
          <w:rFonts w:ascii="Times New Roman" w:hAnsi="Times New Roman"/>
        </w:rPr>
        <w:t>, Verfassungsgerichtsbarkeit – quo vadis</w:t>
      </w:r>
      <w:proofErr w:type="gramStart"/>
      <w:r w:rsidRPr="00372388">
        <w:rPr>
          <w:rFonts w:ascii="Times New Roman" w:hAnsi="Times New Roman"/>
        </w:rPr>
        <w:t>?,</w:t>
      </w:r>
      <w:proofErr w:type="gramEnd"/>
      <w:r w:rsidRPr="00372388">
        <w:rPr>
          <w:rFonts w:ascii="Times New Roman" w:hAnsi="Times New Roman"/>
        </w:rPr>
        <w:t xml:space="preserve"> Umbr. S. 4</w:t>
      </w:r>
      <w:r>
        <w:rPr>
          <w:rFonts w:ascii="Times New Roman" w:hAnsi="Times New Roman"/>
        </w:rPr>
        <w:t> </w:t>
      </w:r>
      <w:r w:rsidRPr="00372388">
        <w:rPr>
          <w:rFonts w:ascii="Times New Roman" w:hAnsi="Times New Roman"/>
        </w:rPr>
        <w:t>f.</w:t>
      </w:r>
    </w:p>
  </w:footnote>
  <w:footnote w:id="17">
    <w:p w:rsidR="000640CE" w:rsidRPr="00372388" w:rsidRDefault="000640CE" w:rsidP="00DC685E">
      <w:pPr>
        <w:pStyle w:val="Funotentext"/>
        <w:rPr>
          <w:rFonts w:ascii="Times New Roman" w:hAnsi="Times New Roman"/>
          <w:lang w:val="en-US"/>
        </w:rPr>
      </w:pPr>
      <w:r w:rsidRPr="00372388">
        <w:rPr>
          <w:rStyle w:val="Funotenzeichen"/>
          <w:rFonts w:ascii="Times New Roman" w:hAnsi="Times New Roman" w:cs="Times New Roman"/>
        </w:rPr>
        <w:footnoteRef/>
      </w:r>
      <w:r w:rsidRPr="00372388">
        <w:rPr>
          <w:rFonts w:ascii="Times New Roman" w:hAnsi="Times New Roman"/>
        </w:rPr>
        <w:t xml:space="preserve"> Stellungnahme der Venedig-Kommission, Opinion no. 860/2016 v. 14. </w:t>
      </w:r>
      <w:r w:rsidRPr="00372388">
        <w:rPr>
          <w:rFonts w:ascii="Times New Roman" w:hAnsi="Times New Roman"/>
          <w:lang w:val="en-US"/>
        </w:rPr>
        <w:t xml:space="preserve">Oktober 2016, On </w:t>
      </w:r>
      <w:r>
        <w:rPr>
          <w:rFonts w:ascii="Times New Roman" w:hAnsi="Times New Roman"/>
          <w:lang w:val="en-US"/>
        </w:rPr>
        <w:t>t</w:t>
      </w:r>
      <w:r w:rsidRPr="00372388">
        <w:rPr>
          <w:rFonts w:ascii="Times New Roman" w:hAnsi="Times New Roman"/>
          <w:lang w:val="en-US"/>
        </w:rPr>
        <w:t>he Act of the Co</w:t>
      </w:r>
      <w:r w:rsidRPr="00372388">
        <w:rPr>
          <w:rFonts w:ascii="Times New Roman" w:hAnsi="Times New Roman"/>
          <w:lang w:val="en-US"/>
        </w:rPr>
        <w:t>n</w:t>
      </w:r>
      <w:r w:rsidRPr="00372388">
        <w:rPr>
          <w:rFonts w:ascii="Times New Roman" w:hAnsi="Times New Roman"/>
          <w:lang w:val="en-US"/>
        </w:rPr>
        <w:t>stitutional Tribunal, S.</w:t>
      </w:r>
      <w:r>
        <w:rPr>
          <w:rFonts w:ascii="Times New Roman" w:hAnsi="Times New Roman"/>
          <w:lang w:val="en-US"/>
        </w:rPr>
        <w:t> </w:t>
      </w:r>
      <w:r w:rsidRPr="00372388">
        <w:rPr>
          <w:rFonts w:ascii="Times New Roman" w:hAnsi="Times New Roman"/>
          <w:lang w:val="en-US"/>
        </w:rPr>
        <w:t>7 und 16</w:t>
      </w:r>
      <w:r>
        <w:rPr>
          <w:rFonts w:ascii="Times New Roman" w:hAnsi="Times New Roman"/>
          <w:lang w:val="en-US"/>
        </w:rPr>
        <w:t> </w:t>
      </w:r>
      <w:r w:rsidRPr="00372388">
        <w:rPr>
          <w:rFonts w:ascii="Times New Roman" w:hAnsi="Times New Roman"/>
          <w:lang w:val="en-US"/>
        </w:rPr>
        <w:t>ff.</w:t>
      </w:r>
    </w:p>
  </w:footnote>
  <w:footnote w:id="18">
    <w:p w:rsidR="000640CE" w:rsidRPr="00372388" w:rsidRDefault="000640CE" w:rsidP="006D0400">
      <w:pPr>
        <w:pStyle w:val="Funotentext"/>
        <w:rPr>
          <w:rFonts w:ascii="Times New Roman" w:hAnsi="Times New Roman"/>
          <w:lang w:val="en-US"/>
        </w:rPr>
      </w:pPr>
      <w:r w:rsidRPr="00372388">
        <w:rPr>
          <w:rStyle w:val="Funotenzeichen"/>
          <w:rFonts w:ascii="Times New Roman" w:hAnsi="Times New Roman" w:cs="Times New Roman"/>
        </w:rPr>
        <w:footnoteRef/>
      </w:r>
      <w:r w:rsidRPr="00372388">
        <w:rPr>
          <w:rFonts w:ascii="Times New Roman" w:hAnsi="Times New Roman"/>
        </w:rPr>
        <w:t xml:space="preserve"> Stellungnahme der Venedig-Kommission, Opinion no. 833/2015 v. 11. </w:t>
      </w:r>
      <w:r w:rsidRPr="00372388">
        <w:rPr>
          <w:rFonts w:ascii="Times New Roman" w:hAnsi="Times New Roman"/>
          <w:lang w:val="en-US"/>
        </w:rPr>
        <w:t>März 2016, On Amendments to the Act of 28 June 2015 on the Constitutional Tribunal of Poland, S.</w:t>
      </w:r>
      <w:r>
        <w:rPr>
          <w:rFonts w:ascii="Times New Roman" w:hAnsi="Times New Roman"/>
          <w:lang w:val="en-US"/>
        </w:rPr>
        <w:t> </w:t>
      </w:r>
      <w:r w:rsidRPr="00372388">
        <w:rPr>
          <w:rFonts w:ascii="Times New Roman" w:hAnsi="Times New Roman"/>
          <w:lang w:val="en-US"/>
        </w:rPr>
        <w:t>5.</w:t>
      </w:r>
    </w:p>
  </w:footnote>
  <w:footnote w:id="19">
    <w:p w:rsidR="000640CE" w:rsidRPr="00372388" w:rsidRDefault="000640CE">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lang w:val="en-US"/>
        </w:rPr>
        <w:t xml:space="preserve"> </w:t>
      </w:r>
      <w:proofErr w:type="gramStart"/>
      <w:r w:rsidRPr="00372388">
        <w:rPr>
          <w:rFonts w:ascii="Times New Roman" w:hAnsi="Times New Roman"/>
          <w:lang w:val="en-US"/>
        </w:rPr>
        <w:t>Zum Original vgl.</w:t>
      </w:r>
      <w:proofErr w:type="gramEnd"/>
      <w:r w:rsidRPr="00372388">
        <w:rPr>
          <w:rFonts w:ascii="Times New Roman" w:hAnsi="Times New Roman"/>
          <w:lang w:val="en-US"/>
        </w:rPr>
        <w:t xml:space="preserve"> </w:t>
      </w:r>
      <w:proofErr w:type="gramStart"/>
      <w:r w:rsidRPr="00372388">
        <w:rPr>
          <w:rFonts w:ascii="Times New Roman" w:hAnsi="Times New Roman"/>
          <w:lang w:val="en-US"/>
        </w:rPr>
        <w:t>Marbury v. Madison, 5.</w:t>
      </w:r>
      <w:proofErr w:type="gramEnd"/>
      <w:r w:rsidRPr="00372388">
        <w:rPr>
          <w:rFonts w:ascii="Times New Roman" w:hAnsi="Times New Roman"/>
          <w:lang w:val="en-US"/>
        </w:rPr>
        <w:t xml:space="preserve"> </w:t>
      </w:r>
      <w:r w:rsidRPr="00372388">
        <w:rPr>
          <w:rFonts w:ascii="Times New Roman" w:hAnsi="Times New Roman"/>
        </w:rPr>
        <w:t>U. S. (1 Cranch) 137 (1803).</w:t>
      </w:r>
    </w:p>
  </w:footnote>
  <w:footnote w:id="20">
    <w:p w:rsidR="000640CE" w:rsidRPr="00D00EED" w:rsidRDefault="000640CE" w:rsidP="006D0400">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Stellungnahme der Venedig-Kommission, Opinion no. 860/2016 </w:t>
      </w:r>
      <w:r>
        <w:rPr>
          <w:rFonts w:ascii="Times New Roman" w:hAnsi="Times New Roman"/>
        </w:rPr>
        <w:t>(Fn. 17)</w:t>
      </w:r>
      <w:r w:rsidRPr="00D00EED">
        <w:rPr>
          <w:rFonts w:ascii="Times New Roman" w:hAnsi="Times New Roman"/>
        </w:rPr>
        <w:t xml:space="preserve">, S.7. </w:t>
      </w:r>
    </w:p>
  </w:footnote>
  <w:footnote w:id="21">
    <w:p w:rsidR="000640CE" w:rsidRPr="00372388" w:rsidRDefault="000640CE" w:rsidP="006932B9">
      <w:pPr>
        <w:pStyle w:val="Funotentext"/>
        <w:rPr>
          <w:rFonts w:ascii="Times New Roman" w:hAnsi="Times New Roman"/>
          <w:lang w:val="en-US"/>
        </w:rPr>
      </w:pPr>
      <w:r w:rsidRPr="00372388">
        <w:rPr>
          <w:rStyle w:val="Funotenzeichen"/>
          <w:rFonts w:ascii="Times New Roman" w:hAnsi="Times New Roman" w:cs="Times New Roman"/>
        </w:rPr>
        <w:footnoteRef/>
      </w:r>
      <w:r w:rsidRPr="00372388">
        <w:rPr>
          <w:rFonts w:ascii="Times New Roman" w:hAnsi="Times New Roman"/>
          <w:lang w:val="en-US"/>
        </w:rPr>
        <w:t xml:space="preserve"> EU-Kommission, Press Release 29 July 2017, European Commission launches infringement against Poland over measures affecting the judiciary</w:t>
      </w:r>
      <w:r>
        <w:rPr>
          <w:rFonts w:ascii="Times New Roman" w:hAnsi="Times New Roman"/>
          <w:lang w:val="en-US"/>
        </w:rPr>
        <w:t>.</w:t>
      </w:r>
    </w:p>
  </w:footnote>
  <w:footnote w:id="22">
    <w:p w:rsidR="000640CE" w:rsidRPr="00372388" w:rsidRDefault="000640CE">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Zeit online vom 20. Juli 2017: Zehntausende demonstrieren gegen Justizreform.</w:t>
      </w:r>
    </w:p>
  </w:footnote>
  <w:footnote w:id="23">
    <w:p w:rsidR="000640CE" w:rsidRPr="00372388" w:rsidRDefault="000640CE" w:rsidP="00583797">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EU-Kommission, Orientierungsaussprache des Kollegiums über die jüngsten Entwicklungen in</w:t>
      </w:r>
      <w:r>
        <w:rPr>
          <w:rFonts w:ascii="Times New Roman" w:hAnsi="Times New Roman"/>
        </w:rPr>
        <w:t xml:space="preserve"> </w:t>
      </w:r>
      <w:r w:rsidRPr="00372388">
        <w:rPr>
          <w:rFonts w:ascii="Times New Roman" w:hAnsi="Times New Roman"/>
        </w:rPr>
        <w:t>Polen und den Rahmen zur Stärkung des Rechtsstaatsprinzips: Fragen und Antworten, 16. Januar 2016, Memo 16/62.</w:t>
      </w:r>
    </w:p>
  </w:footnote>
  <w:footnote w:id="24">
    <w:p w:rsidR="000640CE" w:rsidRPr="00372388" w:rsidRDefault="000640CE" w:rsidP="00E60030">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EU-Kommission, PM vom 29. Juli 2017, Europäische Kommission eröffnet Vertragsverletzungsverfahren gegen Polen wegen Maßnahmen zum Justizumbau, IP/17/2205.</w:t>
      </w:r>
    </w:p>
  </w:footnote>
  <w:footnote w:id="25">
    <w:p w:rsidR="000640CE" w:rsidRPr="00372388" w:rsidRDefault="000640CE">
      <w:pPr>
        <w:pStyle w:val="Funotentext"/>
        <w:rPr>
          <w:rFonts w:ascii="Times New Roman" w:hAnsi="Times New Roman"/>
          <w:lang w:val="en-US"/>
        </w:rPr>
      </w:pPr>
      <w:r w:rsidRPr="00372388">
        <w:rPr>
          <w:rStyle w:val="Funotenzeichen"/>
          <w:rFonts w:ascii="Times New Roman" w:hAnsi="Times New Roman" w:cs="Times New Roman"/>
        </w:rPr>
        <w:footnoteRef/>
      </w:r>
      <w:r w:rsidRPr="00372388">
        <w:rPr>
          <w:rFonts w:ascii="Times New Roman" w:hAnsi="Times New Roman"/>
          <w:lang w:val="en-US"/>
        </w:rPr>
        <w:t xml:space="preserve"> </w:t>
      </w:r>
      <w:r w:rsidRPr="00372388">
        <w:rPr>
          <w:rFonts w:ascii="Times New Roman" w:hAnsi="Times New Roman"/>
          <w:i/>
          <w:lang w:val="en-US"/>
        </w:rPr>
        <w:t>R. Dworkin</w:t>
      </w:r>
      <w:r w:rsidRPr="00372388">
        <w:rPr>
          <w:rFonts w:ascii="Times New Roman" w:hAnsi="Times New Roman"/>
          <w:lang w:val="en-US"/>
        </w:rPr>
        <w:t>, Law´s Empire, 1986, S. 247</w:t>
      </w:r>
      <w:r>
        <w:rPr>
          <w:rFonts w:ascii="Times New Roman" w:hAnsi="Times New Roman"/>
          <w:lang w:val="en-US"/>
        </w:rPr>
        <w:t> </w:t>
      </w:r>
      <w:r w:rsidRPr="00372388">
        <w:rPr>
          <w:rFonts w:ascii="Times New Roman" w:hAnsi="Times New Roman"/>
          <w:lang w:val="en-US"/>
        </w:rPr>
        <w:t>f.: “Fitting what judges did is more important than fitting what they said”.</w:t>
      </w:r>
    </w:p>
  </w:footnote>
  <w:footnote w:id="26">
    <w:p w:rsidR="000640CE" w:rsidRPr="00372388" w:rsidRDefault="000640CE">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VerfG Russ.Föd. Beschluss Nr. 10-P vom 8. April 2014</w:t>
      </w:r>
      <w:r>
        <w:rPr>
          <w:rFonts w:ascii="Times New Roman" w:hAnsi="Times New Roman"/>
        </w:rPr>
        <w:t>.</w:t>
      </w:r>
    </w:p>
  </w:footnote>
  <w:footnote w:id="27">
    <w:p w:rsidR="000640CE" w:rsidRPr="00372388" w:rsidRDefault="000640CE">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VerfG Russ.Föd. Entscheidung Nr. 21-P vom 14. 7. 2015.</w:t>
      </w:r>
    </w:p>
  </w:footnote>
  <w:footnote w:id="28">
    <w:p w:rsidR="000640CE" w:rsidRPr="00372388" w:rsidRDefault="000640CE">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BVerfGE 111, 307 ff. – </w:t>
      </w:r>
      <w:r w:rsidRPr="001D75DC">
        <w:rPr>
          <w:rFonts w:ascii="Times New Roman" w:hAnsi="Times New Roman"/>
          <w:i/>
        </w:rPr>
        <w:t>Görgülü</w:t>
      </w:r>
      <w:r w:rsidRPr="00372388">
        <w:rPr>
          <w:rFonts w:ascii="Times New Roman" w:hAnsi="Times New Roman"/>
        </w:rPr>
        <w:t>; 128, 326</w:t>
      </w:r>
      <w:r>
        <w:rPr>
          <w:rFonts w:ascii="Times New Roman" w:hAnsi="Times New Roman"/>
        </w:rPr>
        <w:t> </w:t>
      </w:r>
      <w:r w:rsidRPr="00372388">
        <w:rPr>
          <w:rFonts w:ascii="Times New Roman" w:hAnsi="Times New Roman"/>
        </w:rPr>
        <w:t xml:space="preserve">ff. – </w:t>
      </w:r>
      <w:r w:rsidRPr="001D75DC">
        <w:rPr>
          <w:rFonts w:ascii="Times New Roman" w:hAnsi="Times New Roman"/>
          <w:i/>
        </w:rPr>
        <w:t>Sicherungsverwahrung II</w:t>
      </w:r>
      <w:r w:rsidRPr="00372388">
        <w:rPr>
          <w:rFonts w:ascii="Times New Roman" w:hAnsi="Times New Roman"/>
        </w:rPr>
        <w:t>.</w:t>
      </w:r>
    </w:p>
  </w:footnote>
  <w:footnote w:id="29">
    <w:p w:rsidR="000640CE" w:rsidRPr="00372388" w:rsidRDefault="000640CE" w:rsidP="00AF444B">
      <w:pPr>
        <w:pStyle w:val="Funotentext"/>
        <w:rPr>
          <w:rFonts w:ascii="Times New Roman" w:hAnsi="Times New Roman"/>
          <w:lang w:val="en-US"/>
        </w:rPr>
      </w:pPr>
      <w:r w:rsidRPr="00372388">
        <w:rPr>
          <w:rStyle w:val="Funotenzeichen"/>
          <w:rFonts w:ascii="Times New Roman" w:hAnsi="Times New Roman" w:cs="Times New Roman"/>
        </w:rPr>
        <w:footnoteRef/>
      </w:r>
      <w:r w:rsidRPr="00372388">
        <w:rPr>
          <w:rFonts w:ascii="Times New Roman" w:hAnsi="Times New Roman"/>
          <w:lang w:val="en-US"/>
        </w:rPr>
        <w:t xml:space="preserve"> Vgl. nur Venedig-Kommission, CDL-AD(2016)020 13.06.2016 – Public Russian Federation </w:t>
      </w:r>
      <w:r>
        <w:rPr>
          <w:rFonts w:ascii="Times New Roman" w:hAnsi="Times New Roman"/>
          <w:lang w:val="en-US"/>
        </w:rPr>
        <w:t>–</w:t>
      </w:r>
      <w:r w:rsidRPr="00372388">
        <w:rPr>
          <w:rFonts w:ascii="Times New Roman" w:hAnsi="Times New Roman"/>
          <w:lang w:val="en-US"/>
        </w:rPr>
        <w:t xml:space="preserve"> Opinion on federal law no. 129-fz on amending certain legislative acts (Federal law on undesirable activities of foreign and international non-governmental organisations) adopted by the Venice Commission at its 107th Plenary Session (Venice, 10-11 June 2016); CDL-AD(2016)020 French 13.06.2016 </w:t>
      </w:r>
      <w:r>
        <w:rPr>
          <w:rFonts w:ascii="Times New Roman" w:hAnsi="Times New Roman"/>
          <w:lang w:val="en-US"/>
        </w:rPr>
        <w:t>–</w:t>
      </w:r>
      <w:r w:rsidRPr="00372388">
        <w:rPr>
          <w:rFonts w:ascii="Times New Roman" w:hAnsi="Times New Roman"/>
          <w:lang w:val="en-US"/>
        </w:rPr>
        <w:t xml:space="preserve"> Public Fédération de Russie </w:t>
      </w:r>
      <w:r>
        <w:rPr>
          <w:rFonts w:ascii="Times New Roman" w:hAnsi="Times New Roman"/>
          <w:lang w:val="en-US"/>
        </w:rPr>
        <w:t>–</w:t>
      </w:r>
      <w:r w:rsidRPr="00372388">
        <w:rPr>
          <w:rFonts w:ascii="Times New Roman" w:hAnsi="Times New Roman"/>
          <w:lang w:val="en-US"/>
        </w:rPr>
        <w:t xml:space="preserve"> Avis co</w:t>
      </w:r>
      <w:r w:rsidRPr="00372388">
        <w:rPr>
          <w:rFonts w:ascii="Times New Roman" w:hAnsi="Times New Roman"/>
          <w:lang w:val="en-US"/>
        </w:rPr>
        <w:t>n</w:t>
      </w:r>
      <w:r w:rsidRPr="00372388">
        <w:rPr>
          <w:rFonts w:ascii="Times New Roman" w:hAnsi="Times New Roman"/>
          <w:lang w:val="en-US"/>
        </w:rPr>
        <w:t>cernant la loi fédérale n° 129-fz portant révision de certains actes législatifs (loi fédérale sur les activités indési</w:t>
      </w:r>
      <w:r w:rsidRPr="00372388">
        <w:rPr>
          <w:rFonts w:ascii="Times New Roman" w:hAnsi="Times New Roman"/>
          <w:lang w:val="en-US"/>
        </w:rPr>
        <w:t>r</w:t>
      </w:r>
      <w:r w:rsidRPr="00372388">
        <w:rPr>
          <w:rFonts w:ascii="Times New Roman" w:hAnsi="Times New Roman"/>
          <w:lang w:val="en-US"/>
        </w:rPr>
        <w:t xml:space="preserve">ables d’organisations non gouvernementales étrangères et internationales) adopté par la Commission de Venise lors de sa 107ème Session Plénière (Venise, 10-11 juin 2016); CDL-AD(2016)016 English 13.06.2016 </w:t>
      </w:r>
      <w:r>
        <w:rPr>
          <w:rFonts w:ascii="Times New Roman" w:hAnsi="Times New Roman"/>
          <w:lang w:val="en-US"/>
        </w:rPr>
        <w:t>–</w:t>
      </w:r>
      <w:r w:rsidRPr="00372388">
        <w:rPr>
          <w:rFonts w:ascii="Times New Roman" w:hAnsi="Times New Roman"/>
          <w:lang w:val="en-US"/>
        </w:rPr>
        <w:t xml:space="preserve"> Public</w:t>
      </w:r>
      <w:r>
        <w:rPr>
          <w:rFonts w:ascii="Times New Roman" w:hAnsi="Times New Roman"/>
          <w:lang w:val="en-US"/>
        </w:rPr>
        <w:t xml:space="preserve"> </w:t>
      </w:r>
      <w:r w:rsidRPr="00372388">
        <w:rPr>
          <w:rFonts w:ascii="Times New Roman" w:hAnsi="Times New Roman"/>
          <w:lang w:val="en-US"/>
        </w:rPr>
        <w:t xml:space="preserve">Russian Federation </w:t>
      </w:r>
      <w:r>
        <w:rPr>
          <w:rFonts w:ascii="Times New Roman" w:hAnsi="Times New Roman"/>
          <w:lang w:val="en-US"/>
        </w:rPr>
        <w:t>–</w:t>
      </w:r>
      <w:r w:rsidRPr="00372388">
        <w:rPr>
          <w:rFonts w:ascii="Times New Roman" w:hAnsi="Times New Roman"/>
          <w:lang w:val="en-US"/>
        </w:rPr>
        <w:t xml:space="preserve"> Final Opinion on the Amendments to the Federal Constitutional Law on the Constitutional Court adopted by the Venice Commission at its 107th Plenary Session (Venice, 10-11 June 2016); CDL-AD(2016)016 French 13.06.2016 </w:t>
      </w:r>
      <w:r>
        <w:rPr>
          <w:rFonts w:ascii="Times New Roman" w:hAnsi="Times New Roman"/>
          <w:lang w:val="en-US"/>
        </w:rPr>
        <w:t>–</w:t>
      </w:r>
      <w:r w:rsidRPr="00372388">
        <w:rPr>
          <w:rFonts w:ascii="Times New Roman" w:hAnsi="Times New Roman"/>
          <w:lang w:val="en-US"/>
        </w:rPr>
        <w:t xml:space="preserve"> Public Fédération de Russie </w:t>
      </w:r>
      <w:r>
        <w:rPr>
          <w:rFonts w:ascii="Times New Roman" w:hAnsi="Times New Roman"/>
          <w:lang w:val="en-US"/>
        </w:rPr>
        <w:t>–</w:t>
      </w:r>
      <w:r w:rsidRPr="00372388">
        <w:rPr>
          <w:rFonts w:ascii="Times New Roman" w:hAnsi="Times New Roman"/>
          <w:lang w:val="en-US"/>
        </w:rPr>
        <w:t xml:space="preserve"> Avis final sur les amendements à la loi const</w:t>
      </w:r>
      <w:r w:rsidRPr="00372388">
        <w:rPr>
          <w:rFonts w:ascii="Times New Roman" w:hAnsi="Times New Roman"/>
          <w:lang w:val="en-US"/>
        </w:rPr>
        <w:t>i</w:t>
      </w:r>
      <w:r w:rsidRPr="00372388">
        <w:rPr>
          <w:rFonts w:ascii="Times New Roman" w:hAnsi="Times New Roman"/>
          <w:lang w:val="en-US"/>
        </w:rPr>
        <w:t xml:space="preserve">tutionnelle fédérale sur la Cour constitutionnelle adopté par la Commission de Venise lors de sa 107e Session plénière (Venise, les 10-11 juin 2016); CDL-AD(2016)005 English 15.03.2016 </w:t>
      </w:r>
      <w:r>
        <w:rPr>
          <w:rFonts w:ascii="Times New Roman" w:hAnsi="Times New Roman"/>
          <w:lang w:val="en-US"/>
        </w:rPr>
        <w:t>–</w:t>
      </w:r>
      <w:r w:rsidRPr="00372388">
        <w:rPr>
          <w:rFonts w:ascii="Times New Roman" w:hAnsi="Times New Roman"/>
          <w:lang w:val="en-US"/>
        </w:rPr>
        <w:t xml:space="preserve"> Public Interim Opinion on the amendments to the Federal Constitutional Law on the Constitutional Court of the Russian Federation adopted by the Venice Commission at its 106th Plenary Session (Venice, 11-12 March 2016). </w:t>
      </w:r>
    </w:p>
  </w:footnote>
  <w:footnote w:id="30">
    <w:p w:rsidR="000640CE" w:rsidRPr="00372388" w:rsidRDefault="000640CE" w:rsidP="00642A4D">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Zuletzt EGMR, Urteil vom 20. Juni 2017, Nr. 67667/09, 44092/12, 56717/12 u.a. – Bayev u.a./Russland, wo der Gerichtshof die Sanktionierung von Meinungsäußerungen mit homosexuellem Inhalt als Verstoß gegen Art. 10 i.V.m. Art. 14 EMRK qualifiziert hat. </w:t>
      </w:r>
    </w:p>
  </w:footnote>
  <w:footnote w:id="31">
    <w:p w:rsidR="000640CE" w:rsidRPr="00372388" w:rsidRDefault="000640CE">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Türk.VerfG</w:t>
      </w:r>
      <w:r>
        <w:rPr>
          <w:rFonts w:ascii="Times New Roman" w:hAnsi="Times New Roman"/>
        </w:rPr>
        <w:t>,</w:t>
      </w:r>
      <w:r w:rsidRPr="00372388">
        <w:rPr>
          <w:rFonts w:ascii="Times New Roman" w:hAnsi="Times New Roman"/>
        </w:rPr>
        <w:t xml:space="preserve"> Entscheidung 2016/12, Gz. 2016/6 (Sondersache) vom 4.8.2016, EuGRZ 2016, </w:t>
      </w:r>
      <w:r>
        <w:rPr>
          <w:rFonts w:ascii="Times New Roman" w:hAnsi="Times New Roman"/>
        </w:rPr>
        <w:t>S. </w:t>
      </w:r>
      <w:r w:rsidRPr="00372388">
        <w:rPr>
          <w:rFonts w:ascii="Times New Roman" w:hAnsi="Times New Roman"/>
        </w:rPr>
        <w:t>633</w:t>
      </w:r>
      <w:r>
        <w:rPr>
          <w:rFonts w:ascii="Times New Roman" w:hAnsi="Times New Roman"/>
        </w:rPr>
        <w:t> </w:t>
      </w:r>
      <w:r w:rsidRPr="00372388">
        <w:rPr>
          <w:rFonts w:ascii="Times New Roman" w:hAnsi="Times New Roman"/>
        </w:rPr>
        <w:t>ff.</w:t>
      </w:r>
    </w:p>
  </w:footnote>
  <w:footnote w:id="32">
    <w:p w:rsidR="000640CE" w:rsidRPr="00372388" w:rsidRDefault="000640CE">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Türk.VerfG</w:t>
      </w:r>
      <w:r>
        <w:rPr>
          <w:rFonts w:ascii="Times New Roman" w:hAnsi="Times New Roman"/>
        </w:rPr>
        <w:t>,</w:t>
      </w:r>
      <w:r w:rsidRPr="00372388">
        <w:rPr>
          <w:rFonts w:ascii="Times New Roman" w:hAnsi="Times New Roman"/>
        </w:rPr>
        <w:t xml:space="preserve"> EuGRZ 2016, </w:t>
      </w:r>
      <w:r>
        <w:rPr>
          <w:rFonts w:ascii="Times New Roman" w:hAnsi="Times New Roman"/>
        </w:rPr>
        <w:t>S. </w:t>
      </w:r>
      <w:r w:rsidRPr="00372388">
        <w:rPr>
          <w:rFonts w:ascii="Times New Roman" w:hAnsi="Times New Roman"/>
        </w:rPr>
        <w:t>633 (638</w:t>
      </w:r>
      <w:r>
        <w:rPr>
          <w:rFonts w:ascii="Times New Roman" w:hAnsi="Times New Roman"/>
        </w:rPr>
        <w:t> </w:t>
      </w:r>
      <w:r w:rsidRPr="00372388">
        <w:rPr>
          <w:rFonts w:ascii="Times New Roman" w:hAnsi="Times New Roman"/>
        </w:rPr>
        <w:t>f.).</w:t>
      </w:r>
    </w:p>
  </w:footnote>
  <w:footnote w:id="33">
    <w:p w:rsidR="000640CE" w:rsidRPr="00372388" w:rsidRDefault="000640CE" w:rsidP="00287BE9">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w:t>
      </w:r>
      <w:r w:rsidRPr="00372388">
        <w:rPr>
          <w:rFonts w:ascii="Times New Roman" w:hAnsi="Times New Roman"/>
          <w:i/>
        </w:rPr>
        <w:t>H. Bauer</w:t>
      </w:r>
      <w:r w:rsidRPr="00372388">
        <w:rPr>
          <w:rFonts w:ascii="Times New Roman" w:hAnsi="Times New Roman"/>
        </w:rPr>
        <w:t>, Demokratie in Europa, Einführende Problemskizze, in</w:t>
      </w:r>
      <w:r>
        <w:rPr>
          <w:rFonts w:ascii="Times New Roman" w:hAnsi="Times New Roman"/>
        </w:rPr>
        <w:t>:</w:t>
      </w:r>
      <w:r w:rsidRPr="00372388">
        <w:rPr>
          <w:rFonts w:ascii="Times New Roman" w:hAnsi="Times New Roman"/>
        </w:rPr>
        <w:t xml:space="preserve"> Bauer/Huber/Sommermann (Hrsg.), Dem</w:t>
      </w:r>
      <w:r w:rsidRPr="00372388">
        <w:rPr>
          <w:rFonts w:ascii="Times New Roman" w:hAnsi="Times New Roman"/>
        </w:rPr>
        <w:t>o</w:t>
      </w:r>
      <w:r w:rsidRPr="00372388">
        <w:rPr>
          <w:rFonts w:ascii="Times New Roman" w:hAnsi="Times New Roman"/>
        </w:rPr>
        <w:t>kratie in Europa, 2005, S.</w:t>
      </w:r>
      <w:r>
        <w:rPr>
          <w:rFonts w:ascii="Times New Roman" w:hAnsi="Times New Roman"/>
        </w:rPr>
        <w:t> </w:t>
      </w:r>
      <w:r w:rsidRPr="00372388">
        <w:rPr>
          <w:rFonts w:ascii="Times New Roman" w:hAnsi="Times New Roman"/>
        </w:rPr>
        <w:t>1.</w:t>
      </w:r>
    </w:p>
  </w:footnote>
  <w:footnote w:id="34">
    <w:p w:rsidR="000640CE" w:rsidRPr="00372388" w:rsidRDefault="000640CE" w:rsidP="00287BE9">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w:t>
      </w:r>
      <w:r w:rsidRPr="00372388">
        <w:rPr>
          <w:rFonts w:ascii="Times New Roman" w:hAnsi="Times New Roman"/>
          <w:i/>
        </w:rPr>
        <w:t>E. W. Böckenförde</w:t>
      </w:r>
      <w:r w:rsidRPr="00372388">
        <w:rPr>
          <w:rFonts w:ascii="Times New Roman" w:hAnsi="Times New Roman"/>
        </w:rPr>
        <w:t>, Demokratie als Verfassungsprinzip, in: Isensee/Kirchhof (Hrsg.), HStR II, 3.</w:t>
      </w:r>
      <w:r>
        <w:rPr>
          <w:rFonts w:ascii="Times New Roman" w:hAnsi="Times New Roman"/>
        </w:rPr>
        <w:t> </w:t>
      </w:r>
      <w:r w:rsidRPr="00372388">
        <w:rPr>
          <w:rFonts w:ascii="Times New Roman" w:hAnsi="Times New Roman"/>
        </w:rPr>
        <w:t>Aufl., 2004, §</w:t>
      </w:r>
      <w:r>
        <w:rPr>
          <w:rFonts w:ascii="Times New Roman" w:hAnsi="Times New Roman"/>
        </w:rPr>
        <w:t> </w:t>
      </w:r>
      <w:r w:rsidRPr="00372388">
        <w:rPr>
          <w:rFonts w:ascii="Times New Roman" w:hAnsi="Times New Roman"/>
        </w:rPr>
        <w:t>24 Rn. 35.</w:t>
      </w:r>
    </w:p>
  </w:footnote>
  <w:footnote w:id="35">
    <w:p w:rsidR="000640CE" w:rsidRPr="00372388" w:rsidRDefault="000640CE" w:rsidP="00287BE9">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w:t>
      </w:r>
      <w:r w:rsidRPr="00372388">
        <w:rPr>
          <w:rFonts w:ascii="Times New Roman" w:hAnsi="Times New Roman"/>
          <w:i/>
        </w:rPr>
        <w:t>P. M. Huber</w:t>
      </w:r>
      <w:r w:rsidRPr="00372388">
        <w:rPr>
          <w:rFonts w:ascii="Times New Roman" w:hAnsi="Times New Roman"/>
        </w:rPr>
        <w:t xml:space="preserve">, Europäisches und nationales Verfassungsrecht, VVDStRL 60 (2001), </w:t>
      </w:r>
      <w:r>
        <w:rPr>
          <w:rFonts w:ascii="Times New Roman" w:hAnsi="Times New Roman"/>
        </w:rPr>
        <w:t>S. </w:t>
      </w:r>
      <w:r w:rsidRPr="00372388">
        <w:rPr>
          <w:rFonts w:ascii="Times New Roman" w:hAnsi="Times New Roman"/>
        </w:rPr>
        <w:t>194 (222</w:t>
      </w:r>
      <w:r>
        <w:rPr>
          <w:rFonts w:ascii="Times New Roman" w:hAnsi="Times New Roman"/>
        </w:rPr>
        <w:t> </w:t>
      </w:r>
      <w:r w:rsidRPr="00372388">
        <w:rPr>
          <w:rFonts w:ascii="Times New Roman" w:hAnsi="Times New Roman"/>
        </w:rPr>
        <w:t xml:space="preserve">f.); </w:t>
      </w:r>
      <w:r w:rsidRPr="001D75DC">
        <w:rPr>
          <w:rFonts w:ascii="Times New Roman" w:hAnsi="Times New Roman"/>
        </w:rPr>
        <w:t>Belgien:</w:t>
      </w:r>
      <w:r w:rsidRPr="00372388">
        <w:rPr>
          <w:rFonts w:ascii="Times New Roman" w:hAnsi="Times New Roman"/>
          <w:b/>
        </w:rPr>
        <w:t xml:space="preserve"> </w:t>
      </w:r>
      <w:r w:rsidRPr="00372388">
        <w:rPr>
          <w:rFonts w:ascii="Times New Roman" w:hAnsi="Times New Roman"/>
        </w:rPr>
        <w:t xml:space="preserve">Art. 33 BelgVerf.; </w:t>
      </w:r>
      <w:r w:rsidRPr="001D75DC">
        <w:rPr>
          <w:rFonts w:ascii="Times New Roman" w:hAnsi="Times New Roman"/>
        </w:rPr>
        <w:t>Deutschland:</w:t>
      </w:r>
      <w:r w:rsidRPr="00372388">
        <w:rPr>
          <w:rFonts w:ascii="Times New Roman" w:hAnsi="Times New Roman"/>
          <w:b/>
        </w:rPr>
        <w:t xml:space="preserve"> </w:t>
      </w:r>
      <w:r w:rsidRPr="00372388">
        <w:rPr>
          <w:rFonts w:ascii="Times New Roman" w:hAnsi="Times New Roman"/>
        </w:rPr>
        <w:t>Art. 20 Abs.</w:t>
      </w:r>
      <w:r>
        <w:rPr>
          <w:rFonts w:ascii="Times New Roman" w:hAnsi="Times New Roman"/>
        </w:rPr>
        <w:t> </w:t>
      </w:r>
      <w:r w:rsidRPr="00372388">
        <w:rPr>
          <w:rFonts w:ascii="Times New Roman" w:hAnsi="Times New Roman"/>
        </w:rPr>
        <w:t>1 und 2</w:t>
      </w:r>
      <w:r>
        <w:rPr>
          <w:rFonts w:ascii="Times New Roman" w:hAnsi="Times New Roman"/>
        </w:rPr>
        <w:t> </w:t>
      </w:r>
      <w:r w:rsidRPr="00372388">
        <w:rPr>
          <w:rFonts w:ascii="Times New Roman" w:hAnsi="Times New Roman"/>
        </w:rPr>
        <w:t xml:space="preserve">GG; </w:t>
      </w:r>
      <w:r w:rsidRPr="001D75DC">
        <w:rPr>
          <w:rFonts w:ascii="Times New Roman" w:hAnsi="Times New Roman"/>
        </w:rPr>
        <w:t xml:space="preserve">Finnland: </w:t>
      </w:r>
      <w:r w:rsidRPr="00372388">
        <w:rPr>
          <w:rFonts w:ascii="Times New Roman" w:hAnsi="Times New Roman"/>
        </w:rPr>
        <w:t>§</w:t>
      </w:r>
      <w:r>
        <w:rPr>
          <w:rFonts w:ascii="Times New Roman" w:hAnsi="Times New Roman"/>
        </w:rPr>
        <w:t> </w:t>
      </w:r>
      <w:r w:rsidRPr="00372388">
        <w:rPr>
          <w:rFonts w:ascii="Times New Roman" w:hAnsi="Times New Roman"/>
        </w:rPr>
        <w:t>2 FinnGG;</w:t>
      </w:r>
      <w:r w:rsidRPr="00372388">
        <w:rPr>
          <w:rFonts w:ascii="Times New Roman" w:hAnsi="Times New Roman"/>
          <w:i/>
        </w:rPr>
        <w:t xml:space="preserve"> </w:t>
      </w:r>
      <w:r w:rsidRPr="001D75DC">
        <w:rPr>
          <w:rFonts w:ascii="Times New Roman" w:hAnsi="Times New Roman"/>
        </w:rPr>
        <w:t>Frankreich:</w:t>
      </w:r>
      <w:r w:rsidRPr="00372388">
        <w:rPr>
          <w:rFonts w:ascii="Times New Roman" w:hAnsi="Times New Roman"/>
          <w:b/>
        </w:rPr>
        <w:t xml:space="preserve"> </w:t>
      </w:r>
      <w:r w:rsidRPr="00372388">
        <w:rPr>
          <w:rFonts w:ascii="Times New Roman" w:hAnsi="Times New Roman"/>
        </w:rPr>
        <w:t>Art.</w:t>
      </w:r>
      <w:r>
        <w:rPr>
          <w:rFonts w:ascii="Times New Roman" w:hAnsi="Times New Roman"/>
        </w:rPr>
        <w:t> </w:t>
      </w:r>
      <w:r w:rsidRPr="00372388">
        <w:rPr>
          <w:rFonts w:ascii="Times New Roman" w:hAnsi="Times New Roman"/>
        </w:rPr>
        <w:t xml:space="preserve">3 FrzVerf.; CC No. 92 – 308 v. 9. 4. 1992, EuGRZ 1993, </w:t>
      </w:r>
      <w:r>
        <w:rPr>
          <w:rFonts w:ascii="Times New Roman" w:hAnsi="Times New Roman"/>
        </w:rPr>
        <w:t xml:space="preserve">S. </w:t>
      </w:r>
      <w:r w:rsidRPr="00372388">
        <w:rPr>
          <w:rFonts w:ascii="Times New Roman" w:hAnsi="Times New Roman"/>
        </w:rPr>
        <w:t xml:space="preserve">187 (189) – Maastricht I; No. 97 – 394 v. 31. 12. 1997, EuGRZ 1998, </w:t>
      </w:r>
      <w:r>
        <w:rPr>
          <w:rFonts w:ascii="Times New Roman" w:hAnsi="Times New Roman"/>
        </w:rPr>
        <w:t>S. </w:t>
      </w:r>
      <w:r w:rsidRPr="00372388">
        <w:rPr>
          <w:rFonts w:ascii="Times New Roman" w:hAnsi="Times New Roman"/>
        </w:rPr>
        <w:t xml:space="preserve">27 (29) – Amsterdam; </w:t>
      </w:r>
      <w:r w:rsidRPr="00372388">
        <w:rPr>
          <w:rFonts w:ascii="Times New Roman" w:hAnsi="Times New Roman"/>
          <w:i/>
        </w:rPr>
        <w:t>Michel Fromont</w:t>
      </w:r>
      <w:r w:rsidRPr="00372388">
        <w:rPr>
          <w:rFonts w:ascii="Times New Roman" w:hAnsi="Times New Roman"/>
        </w:rPr>
        <w:t xml:space="preserve">, Frankreich und die Europäische Union, DÖV 1994, </w:t>
      </w:r>
      <w:r>
        <w:rPr>
          <w:rFonts w:ascii="Times New Roman" w:hAnsi="Times New Roman"/>
        </w:rPr>
        <w:t>S. </w:t>
      </w:r>
      <w:r w:rsidRPr="00372388">
        <w:rPr>
          <w:rFonts w:ascii="Times New Roman" w:hAnsi="Times New Roman"/>
        </w:rPr>
        <w:t xml:space="preserve">481; </w:t>
      </w:r>
      <w:r w:rsidRPr="001D75DC">
        <w:rPr>
          <w:rFonts w:ascii="Times New Roman" w:hAnsi="Times New Roman"/>
        </w:rPr>
        <w:t>Griechenland:</w:t>
      </w:r>
      <w:r w:rsidRPr="00372388">
        <w:rPr>
          <w:rFonts w:ascii="Times New Roman" w:hAnsi="Times New Roman"/>
          <w:b/>
        </w:rPr>
        <w:t xml:space="preserve"> </w:t>
      </w:r>
      <w:r w:rsidRPr="00372388">
        <w:rPr>
          <w:rFonts w:ascii="Times New Roman" w:hAnsi="Times New Roman"/>
        </w:rPr>
        <w:t>Art.</w:t>
      </w:r>
      <w:r>
        <w:rPr>
          <w:rFonts w:ascii="Times New Roman" w:hAnsi="Times New Roman"/>
        </w:rPr>
        <w:t> </w:t>
      </w:r>
      <w:r w:rsidRPr="00372388">
        <w:rPr>
          <w:rFonts w:ascii="Times New Roman" w:hAnsi="Times New Roman"/>
        </w:rPr>
        <w:t>1 Abs.</w:t>
      </w:r>
      <w:r>
        <w:rPr>
          <w:rFonts w:ascii="Times New Roman" w:hAnsi="Times New Roman"/>
        </w:rPr>
        <w:t> </w:t>
      </w:r>
      <w:r w:rsidRPr="00372388">
        <w:rPr>
          <w:rFonts w:ascii="Times New Roman" w:hAnsi="Times New Roman"/>
        </w:rPr>
        <w:t xml:space="preserve">3 GriechVerf.; </w:t>
      </w:r>
      <w:r w:rsidRPr="001D75DC">
        <w:rPr>
          <w:rFonts w:ascii="Times New Roman" w:hAnsi="Times New Roman"/>
        </w:rPr>
        <w:t>Irland:</w:t>
      </w:r>
      <w:r w:rsidRPr="00372388">
        <w:rPr>
          <w:rFonts w:ascii="Times New Roman" w:hAnsi="Times New Roman"/>
          <w:b/>
        </w:rPr>
        <w:t xml:space="preserve"> </w:t>
      </w:r>
      <w:r w:rsidRPr="00372388">
        <w:rPr>
          <w:rFonts w:ascii="Times New Roman" w:hAnsi="Times New Roman"/>
        </w:rPr>
        <w:t>Art.</w:t>
      </w:r>
      <w:r>
        <w:rPr>
          <w:rFonts w:ascii="Times New Roman" w:hAnsi="Times New Roman"/>
        </w:rPr>
        <w:t> </w:t>
      </w:r>
      <w:r w:rsidRPr="00372388">
        <w:rPr>
          <w:rFonts w:ascii="Times New Roman" w:hAnsi="Times New Roman"/>
        </w:rPr>
        <w:t>6 Abs.</w:t>
      </w:r>
      <w:r>
        <w:rPr>
          <w:rFonts w:ascii="Times New Roman" w:hAnsi="Times New Roman"/>
        </w:rPr>
        <w:t> </w:t>
      </w:r>
      <w:r w:rsidRPr="00372388">
        <w:rPr>
          <w:rFonts w:ascii="Times New Roman" w:hAnsi="Times New Roman"/>
        </w:rPr>
        <w:t xml:space="preserve">1 IrlVerf.; Supreme Court v. 9. 4. 1987, [1987] ILRM </w:t>
      </w:r>
      <w:r>
        <w:rPr>
          <w:rFonts w:ascii="Times New Roman" w:hAnsi="Times New Roman"/>
        </w:rPr>
        <w:t>S. </w:t>
      </w:r>
      <w:r w:rsidRPr="00372388">
        <w:rPr>
          <w:rFonts w:ascii="Times New Roman" w:hAnsi="Times New Roman"/>
        </w:rPr>
        <w:t xml:space="preserve">400 (403) – Crotty; </w:t>
      </w:r>
      <w:r w:rsidRPr="001D75DC">
        <w:rPr>
          <w:rFonts w:ascii="Times New Roman" w:hAnsi="Times New Roman"/>
        </w:rPr>
        <w:t>Italien:</w:t>
      </w:r>
      <w:r w:rsidRPr="00372388">
        <w:rPr>
          <w:rFonts w:ascii="Times New Roman" w:hAnsi="Times New Roman"/>
          <w:b/>
        </w:rPr>
        <w:t xml:space="preserve"> </w:t>
      </w:r>
      <w:r w:rsidRPr="00372388">
        <w:rPr>
          <w:rFonts w:ascii="Times New Roman" w:hAnsi="Times New Roman"/>
        </w:rPr>
        <w:t xml:space="preserve">Art. 1 Satz 2 ItalVerf.; </w:t>
      </w:r>
      <w:r w:rsidRPr="001D75DC">
        <w:rPr>
          <w:rFonts w:ascii="Times New Roman" w:hAnsi="Times New Roman"/>
        </w:rPr>
        <w:t>Luxemburg:</w:t>
      </w:r>
      <w:r w:rsidRPr="00372388">
        <w:rPr>
          <w:rFonts w:ascii="Times New Roman" w:hAnsi="Times New Roman"/>
          <w:b/>
        </w:rPr>
        <w:t xml:space="preserve"> </w:t>
      </w:r>
      <w:r w:rsidRPr="00372388">
        <w:rPr>
          <w:rFonts w:ascii="Times New Roman" w:hAnsi="Times New Roman"/>
        </w:rPr>
        <w:t xml:space="preserve">Art. 32 LuxVerf.; </w:t>
      </w:r>
      <w:r w:rsidRPr="001D75DC">
        <w:rPr>
          <w:rFonts w:ascii="Times New Roman" w:hAnsi="Times New Roman"/>
        </w:rPr>
        <w:t>Österreich:</w:t>
      </w:r>
      <w:r w:rsidRPr="00372388">
        <w:rPr>
          <w:rFonts w:ascii="Times New Roman" w:hAnsi="Times New Roman"/>
          <w:b/>
        </w:rPr>
        <w:t xml:space="preserve"> </w:t>
      </w:r>
      <w:r w:rsidRPr="00372388">
        <w:rPr>
          <w:rFonts w:ascii="Times New Roman" w:hAnsi="Times New Roman"/>
        </w:rPr>
        <w:t>Art.</w:t>
      </w:r>
      <w:r>
        <w:rPr>
          <w:rFonts w:ascii="Times New Roman" w:hAnsi="Times New Roman"/>
        </w:rPr>
        <w:t> </w:t>
      </w:r>
      <w:r w:rsidRPr="00372388">
        <w:rPr>
          <w:rFonts w:ascii="Times New Roman" w:hAnsi="Times New Roman"/>
        </w:rPr>
        <w:t>1 Satz</w:t>
      </w:r>
      <w:r>
        <w:rPr>
          <w:rFonts w:ascii="Times New Roman" w:hAnsi="Times New Roman"/>
        </w:rPr>
        <w:t> </w:t>
      </w:r>
      <w:r w:rsidRPr="00372388">
        <w:rPr>
          <w:rFonts w:ascii="Times New Roman" w:hAnsi="Times New Roman"/>
        </w:rPr>
        <w:t xml:space="preserve">2 ÖstBV-G; </w:t>
      </w:r>
      <w:r w:rsidRPr="00372388">
        <w:rPr>
          <w:rFonts w:ascii="Times New Roman" w:hAnsi="Times New Roman"/>
          <w:i/>
        </w:rPr>
        <w:t xml:space="preserve"> </w:t>
      </w:r>
      <w:r w:rsidRPr="001D75DC">
        <w:rPr>
          <w:rFonts w:ascii="Times New Roman" w:hAnsi="Times New Roman"/>
        </w:rPr>
        <w:t>Polen</w:t>
      </w:r>
      <w:r w:rsidRPr="00372388">
        <w:rPr>
          <w:rFonts w:ascii="Times New Roman" w:hAnsi="Times New Roman"/>
        </w:rPr>
        <w:t xml:space="preserve">: </w:t>
      </w:r>
      <w:r w:rsidRPr="00372388">
        <w:rPr>
          <w:rFonts w:ascii="Times New Roman" w:hAnsi="Times New Roman"/>
          <w:i/>
        </w:rPr>
        <w:t>S. Biernat</w:t>
      </w:r>
      <w:r w:rsidRPr="00372388">
        <w:rPr>
          <w:rFonts w:ascii="Times New Roman" w:hAnsi="Times New Roman"/>
        </w:rPr>
        <w:t>, Demokratieprinzip im polnischen Verfassungssystem, in: Demokratie in Europa</w:t>
      </w:r>
      <w:r>
        <w:rPr>
          <w:rFonts w:ascii="Times New Roman" w:hAnsi="Times New Roman"/>
        </w:rPr>
        <w:t xml:space="preserve"> (Fn. 33)</w:t>
      </w:r>
      <w:r w:rsidRPr="00372388">
        <w:rPr>
          <w:rFonts w:ascii="Times New Roman" w:hAnsi="Times New Roman"/>
        </w:rPr>
        <w:t xml:space="preserve">, S. 79 (81); </w:t>
      </w:r>
      <w:r w:rsidRPr="001D75DC">
        <w:rPr>
          <w:rFonts w:ascii="Times New Roman" w:hAnsi="Times New Roman"/>
        </w:rPr>
        <w:t>Portugal:</w:t>
      </w:r>
      <w:r w:rsidRPr="00372388">
        <w:rPr>
          <w:rFonts w:ascii="Times New Roman" w:hAnsi="Times New Roman"/>
          <w:b/>
        </w:rPr>
        <w:t xml:space="preserve"> </w:t>
      </w:r>
      <w:r w:rsidRPr="00372388">
        <w:rPr>
          <w:rFonts w:ascii="Times New Roman" w:hAnsi="Times New Roman"/>
        </w:rPr>
        <w:t>Art.</w:t>
      </w:r>
      <w:r>
        <w:rPr>
          <w:rFonts w:ascii="Times New Roman" w:hAnsi="Times New Roman"/>
        </w:rPr>
        <w:t> </w:t>
      </w:r>
      <w:r w:rsidRPr="00372388">
        <w:rPr>
          <w:rFonts w:ascii="Times New Roman" w:hAnsi="Times New Roman"/>
        </w:rPr>
        <w:t>3 Abs.</w:t>
      </w:r>
      <w:r>
        <w:rPr>
          <w:rFonts w:ascii="Times New Roman" w:hAnsi="Times New Roman"/>
        </w:rPr>
        <w:t> </w:t>
      </w:r>
      <w:r w:rsidRPr="00372388">
        <w:rPr>
          <w:rFonts w:ascii="Times New Roman" w:hAnsi="Times New Roman"/>
        </w:rPr>
        <w:t xml:space="preserve">1 PortVerf.; </w:t>
      </w:r>
      <w:r w:rsidRPr="001D75DC">
        <w:rPr>
          <w:rFonts w:ascii="Times New Roman" w:hAnsi="Times New Roman"/>
        </w:rPr>
        <w:t>Schweden:</w:t>
      </w:r>
      <w:r w:rsidRPr="00372388">
        <w:rPr>
          <w:rFonts w:ascii="Times New Roman" w:hAnsi="Times New Roman"/>
          <w:b/>
        </w:rPr>
        <w:t xml:space="preserve"> </w:t>
      </w:r>
      <w:r w:rsidRPr="00372388">
        <w:rPr>
          <w:rFonts w:ascii="Times New Roman" w:hAnsi="Times New Roman"/>
        </w:rPr>
        <w:t>Kap.</w:t>
      </w:r>
      <w:r>
        <w:rPr>
          <w:rFonts w:ascii="Times New Roman" w:hAnsi="Times New Roman"/>
        </w:rPr>
        <w:t> </w:t>
      </w:r>
      <w:r w:rsidRPr="00372388">
        <w:rPr>
          <w:rFonts w:ascii="Times New Roman" w:hAnsi="Times New Roman"/>
        </w:rPr>
        <w:t>1 §</w:t>
      </w:r>
      <w:r>
        <w:rPr>
          <w:rFonts w:ascii="Times New Roman" w:hAnsi="Times New Roman"/>
        </w:rPr>
        <w:t> </w:t>
      </w:r>
      <w:r w:rsidRPr="00372388">
        <w:rPr>
          <w:rFonts w:ascii="Times New Roman" w:hAnsi="Times New Roman"/>
        </w:rPr>
        <w:t xml:space="preserve">1 SchwedVerf.; </w:t>
      </w:r>
      <w:r w:rsidRPr="001D75DC">
        <w:rPr>
          <w:rFonts w:ascii="Times New Roman" w:hAnsi="Times New Roman"/>
        </w:rPr>
        <w:t xml:space="preserve">Spanien: </w:t>
      </w:r>
      <w:r w:rsidRPr="00372388">
        <w:rPr>
          <w:rFonts w:ascii="Times New Roman" w:hAnsi="Times New Roman"/>
        </w:rPr>
        <w:t>Art.</w:t>
      </w:r>
      <w:r>
        <w:rPr>
          <w:rFonts w:ascii="Times New Roman" w:hAnsi="Times New Roman"/>
        </w:rPr>
        <w:t> </w:t>
      </w:r>
      <w:r w:rsidRPr="00372388">
        <w:rPr>
          <w:rFonts w:ascii="Times New Roman" w:hAnsi="Times New Roman"/>
        </w:rPr>
        <w:t>1 Abs.</w:t>
      </w:r>
      <w:r>
        <w:rPr>
          <w:rFonts w:ascii="Times New Roman" w:hAnsi="Times New Roman"/>
        </w:rPr>
        <w:t> </w:t>
      </w:r>
      <w:r w:rsidRPr="00372388">
        <w:rPr>
          <w:rFonts w:ascii="Times New Roman" w:hAnsi="Times New Roman"/>
        </w:rPr>
        <w:t>2 SpanVerf.</w:t>
      </w:r>
    </w:p>
  </w:footnote>
  <w:footnote w:id="36">
    <w:p w:rsidR="000640CE" w:rsidRPr="00372388" w:rsidRDefault="000640CE" w:rsidP="00287BE9">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w:t>
      </w:r>
      <w:r w:rsidRPr="00372388">
        <w:rPr>
          <w:rFonts w:ascii="Times New Roman" w:hAnsi="Times New Roman"/>
          <w:i/>
        </w:rPr>
        <w:t>M. G. Schmidt</w:t>
      </w:r>
      <w:r w:rsidRPr="00372388">
        <w:rPr>
          <w:rFonts w:ascii="Times New Roman" w:hAnsi="Times New Roman"/>
        </w:rPr>
        <w:t>, (Fn. 5), spricht insoweit von einer „Konstitutionalisierung der Demokratie“.</w:t>
      </w:r>
    </w:p>
  </w:footnote>
  <w:footnote w:id="37">
    <w:p w:rsidR="000640CE" w:rsidRPr="00372388" w:rsidRDefault="000640CE" w:rsidP="00287BE9">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w:t>
      </w:r>
      <w:r w:rsidRPr="00372388">
        <w:rPr>
          <w:rFonts w:ascii="Times New Roman" w:hAnsi="Times New Roman"/>
          <w:i/>
        </w:rPr>
        <w:t>P. M. Huber</w:t>
      </w:r>
      <w:r w:rsidRPr="00372388">
        <w:rPr>
          <w:rFonts w:ascii="Times New Roman" w:hAnsi="Times New Roman"/>
        </w:rPr>
        <w:t>, Demokratie in Europa – Zusammenfassung und Ausblick, in: Demokratie in Europa</w:t>
      </w:r>
      <w:r>
        <w:rPr>
          <w:rFonts w:ascii="Times New Roman" w:hAnsi="Times New Roman"/>
        </w:rPr>
        <w:t xml:space="preserve"> (Fn. 33)</w:t>
      </w:r>
      <w:r w:rsidRPr="00372388">
        <w:rPr>
          <w:rFonts w:ascii="Times New Roman" w:hAnsi="Times New Roman"/>
        </w:rPr>
        <w:t>, S. 491 (501).</w:t>
      </w:r>
    </w:p>
  </w:footnote>
  <w:footnote w:id="38">
    <w:p w:rsidR="000640CE" w:rsidRPr="00372388" w:rsidRDefault="000640CE" w:rsidP="00287BE9">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w:t>
      </w:r>
      <w:r w:rsidRPr="00372388">
        <w:rPr>
          <w:rFonts w:ascii="Times New Roman" w:hAnsi="Times New Roman"/>
          <w:i/>
        </w:rPr>
        <w:t>L. Heuschling</w:t>
      </w:r>
      <w:r w:rsidRPr="00372388">
        <w:rPr>
          <w:rFonts w:ascii="Times New Roman" w:hAnsi="Times New Roman"/>
        </w:rPr>
        <w:t>, Krise der Demokratie und Krise der juristischen Demokratielehre in Frankreich, in: Demokratie in Europa</w:t>
      </w:r>
      <w:r>
        <w:rPr>
          <w:rFonts w:ascii="Times New Roman" w:hAnsi="Times New Roman"/>
        </w:rPr>
        <w:t xml:space="preserve"> (Fn. 33)</w:t>
      </w:r>
      <w:r w:rsidRPr="00372388">
        <w:rPr>
          <w:rFonts w:ascii="Times New Roman" w:hAnsi="Times New Roman"/>
        </w:rPr>
        <w:t>, S. 33.</w:t>
      </w:r>
    </w:p>
  </w:footnote>
  <w:footnote w:id="39">
    <w:p w:rsidR="000640CE" w:rsidRPr="00372388" w:rsidRDefault="000640CE" w:rsidP="00287BE9">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w:t>
      </w:r>
      <w:r w:rsidRPr="00372388">
        <w:rPr>
          <w:rFonts w:ascii="Times New Roman" w:hAnsi="Times New Roman"/>
          <w:i/>
        </w:rPr>
        <w:t>S. Biernat</w:t>
      </w:r>
      <w:r w:rsidRPr="00372388">
        <w:rPr>
          <w:rFonts w:ascii="Times New Roman" w:hAnsi="Times New Roman"/>
        </w:rPr>
        <w:t xml:space="preserve"> (</w:t>
      </w:r>
      <w:r w:rsidRPr="001D75DC">
        <w:rPr>
          <w:rFonts w:ascii="Times New Roman" w:hAnsi="Times New Roman"/>
        </w:rPr>
        <w:t xml:space="preserve">Fn. </w:t>
      </w:r>
      <w:r w:rsidRPr="004C656B">
        <w:rPr>
          <w:rFonts w:ascii="Times New Roman" w:hAnsi="Times New Roman"/>
        </w:rPr>
        <w:t>35</w:t>
      </w:r>
      <w:r w:rsidRPr="00372388">
        <w:rPr>
          <w:rFonts w:ascii="Times New Roman" w:hAnsi="Times New Roman"/>
        </w:rPr>
        <w:t>), S. 79 (</w:t>
      </w:r>
      <w:r>
        <w:rPr>
          <w:rFonts w:ascii="Times New Roman" w:hAnsi="Times New Roman"/>
        </w:rPr>
        <w:t>90 ff.</w:t>
      </w:r>
      <w:r w:rsidRPr="00372388">
        <w:rPr>
          <w:rFonts w:ascii="Times New Roman" w:hAnsi="Times New Roman"/>
        </w:rPr>
        <w:t>).</w:t>
      </w:r>
    </w:p>
  </w:footnote>
  <w:footnote w:id="40">
    <w:p w:rsidR="000640CE" w:rsidRPr="00372388" w:rsidRDefault="000640CE" w:rsidP="00287BE9">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w:t>
      </w:r>
      <w:r w:rsidRPr="00372388">
        <w:rPr>
          <w:rFonts w:ascii="Times New Roman" w:hAnsi="Times New Roman"/>
          <w:i/>
        </w:rPr>
        <w:t>G. Biaggini</w:t>
      </w:r>
      <w:r w:rsidRPr="00372388">
        <w:rPr>
          <w:rFonts w:ascii="Times New Roman" w:hAnsi="Times New Roman"/>
        </w:rPr>
        <w:t>, Ausgestaltung und Entwicklungsperspektiven des demokratischen Prinzips in der Schweiz, in: Demokratie in Europa</w:t>
      </w:r>
      <w:r>
        <w:rPr>
          <w:rFonts w:ascii="Times New Roman" w:hAnsi="Times New Roman"/>
        </w:rPr>
        <w:t xml:space="preserve"> (Fn. 33), S. 107 (111)</w:t>
      </w:r>
      <w:r w:rsidRPr="00372388">
        <w:rPr>
          <w:rFonts w:ascii="Times New Roman" w:hAnsi="Times New Roman"/>
        </w:rPr>
        <w:t>.</w:t>
      </w:r>
    </w:p>
  </w:footnote>
  <w:footnote w:id="41">
    <w:p w:rsidR="000640CE" w:rsidRPr="00372388" w:rsidRDefault="000640CE" w:rsidP="00287BE9">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w:t>
      </w:r>
      <w:r w:rsidRPr="00372388">
        <w:rPr>
          <w:rFonts w:ascii="Times New Roman" w:hAnsi="Times New Roman"/>
          <w:i/>
        </w:rPr>
        <w:t>P. Cruz Villalón</w:t>
      </w:r>
      <w:r w:rsidRPr="00372388">
        <w:rPr>
          <w:rFonts w:ascii="Times New Roman" w:hAnsi="Times New Roman"/>
        </w:rPr>
        <w:t>, Eine Anmerkung zur Demokratie in Spanien, in: Demokratie in Europa</w:t>
      </w:r>
      <w:r>
        <w:rPr>
          <w:rFonts w:ascii="Times New Roman" w:hAnsi="Times New Roman"/>
        </w:rPr>
        <w:t xml:space="preserve"> (Fn. 33)</w:t>
      </w:r>
      <w:r w:rsidRPr="00372388">
        <w:rPr>
          <w:rFonts w:ascii="Times New Roman" w:hAnsi="Times New Roman"/>
        </w:rPr>
        <w:t>, S.</w:t>
      </w:r>
      <w:r>
        <w:rPr>
          <w:rFonts w:ascii="Times New Roman" w:hAnsi="Times New Roman"/>
        </w:rPr>
        <w:t> </w:t>
      </w:r>
      <w:r w:rsidR="00A05132">
        <w:rPr>
          <w:rFonts w:ascii="Times New Roman" w:hAnsi="Times New Roman"/>
        </w:rPr>
        <w:t>139 ff.</w:t>
      </w:r>
      <w:r w:rsidRPr="00372388">
        <w:rPr>
          <w:rFonts w:ascii="Times New Roman" w:hAnsi="Times New Roman"/>
        </w:rPr>
        <w:t xml:space="preserve"> </w:t>
      </w:r>
    </w:p>
  </w:footnote>
  <w:footnote w:id="42">
    <w:p w:rsidR="000640CE" w:rsidRPr="00372388" w:rsidRDefault="000640CE" w:rsidP="00287BE9">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BVerfG, Urteil vom 17. Januar 2017 – 2 BvB 1/13 –, Rn. 517, juris, unter Hinweis auf </w:t>
      </w:r>
      <w:r>
        <w:rPr>
          <w:rFonts w:ascii="Times New Roman" w:hAnsi="Times New Roman"/>
          <w:i/>
        </w:rPr>
        <w:t>H</w:t>
      </w:r>
      <w:r>
        <w:rPr>
          <w:rFonts w:ascii="Times New Roman" w:hAnsi="Times New Roman"/>
        </w:rPr>
        <w:t xml:space="preserve">. </w:t>
      </w:r>
      <w:r w:rsidRPr="00372388">
        <w:rPr>
          <w:rFonts w:ascii="Times New Roman" w:hAnsi="Times New Roman"/>
          <w:i/>
        </w:rPr>
        <w:t>Dreier</w:t>
      </w:r>
      <w:r w:rsidRPr="00372388">
        <w:rPr>
          <w:rFonts w:ascii="Times New Roman" w:hAnsi="Times New Roman"/>
        </w:rPr>
        <w:t xml:space="preserve">, </w:t>
      </w:r>
      <w:r w:rsidRPr="00101058">
        <w:rPr>
          <w:rFonts w:ascii="Times New Roman" w:hAnsi="Times New Roman"/>
        </w:rPr>
        <w:t>Grenzen demokratischer Freiheit im Verfassungsstaat</w:t>
      </w:r>
      <w:r>
        <w:rPr>
          <w:rFonts w:ascii="Times New Roman" w:hAnsi="Times New Roman"/>
        </w:rPr>
        <w:t xml:space="preserve">, </w:t>
      </w:r>
      <w:r w:rsidRPr="00372388">
        <w:rPr>
          <w:rFonts w:ascii="Times New Roman" w:hAnsi="Times New Roman"/>
        </w:rPr>
        <w:t xml:space="preserve">JZ 1994, S. 741 (751); </w:t>
      </w:r>
      <w:r>
        <w:rPr>
          <w:rFonts w:ascii="Times New Roman" w:hAnsi="Times New Roman"/>
          <w:i/>
        </w:rPr>
        <w:t>M</w:t>
      </w:r>
      <w:r>
        <w:rPr>
          <w:rFonts w:ascii="Times New Roman" w:hAnsi="Times New Roman"/>
        </w:rPr>
        <w:t>. </w:t>
      </w:r>
      <w:r w:rsidRPr="00372388">
        <w:rPr>
          <w:rFonts w:ascii="Times New Roman" w:hAnsi="Times New Roman"/>
          <w:i/>
        </w:rPr>
        <w:t>Thiel</w:t>
      </w:r>
      <w:r w:rsidRPr="00372388">
        <w:rPr>
          <w:rFonts w:ascii="Times New Roman" w:hAnsi="Times New Roman"/>
        </w:rPr>
        <w:t>, in: ders.</w:t>
      </w:r>
      <w:r>
        <w:rPr>
          <w:rFonts w:ascii="Times New Roman" w:hAnsi="Times New Roman"/>
        </w:rPr>
        <w:t xml:space="preserve"> (Hrsg.)</w:t>
      </w:r>
      <w:r w:rsidRPr="00372388">
        <w:rPr>
          <w:rFonts w:ascii="Times New Roman" w:hAnsi="Times New Roman"/>
        </w:rPr>
        <w:t>, Wehrhafte D</w:t>
      </w:r>
      <w:r w:rsidRPr="00372388">
        <w:rPr>
          <w:rFonts w:ascii="Times New Roman" w:hAnsi="Times New Roman"/>
        </w:rPr>
        <w:t>e</w:t>
      </w:r>
      <w:r w:rsidRPr="00372388">
        <w:rPr>
          <w:rFonts w:ascii="Times New Roman" w:hAnsi="Times New Roman"/>
        </w:rPr>
        <w:t>mokratie, 2003, S.</w:t>
      </w:r>
      <w:r>
        <w:rPr>
          <w:rFonts w:ascii="Times New Roman" w:hAnsi="Times New Roman"/>
        </w:rPr>
        <w:t> </w:t>
      </w:r>
      <w:r w:rsidRPr="00372388">
        <w:rPr>
          <w:rFonts w:ascii="Times New Roman" w:hAnsi="Times New Roman"/>
        </w:rPr>
        <w:t xml:space="preserve">20, 23; </w:t>
      </w:r>
      <w:r>
        <w:rPr>
          <w:rFonts w:ascii="Times New Roman" w:hAnsi="Times New Roman"/>
          <w:i/>
        </w:rPr>
        <w:t xml:space="preserve">E.-W. </w:t>
      </w:r>
      <w:r w:rsidRPr="00372388">
        <w:rPr>
          <w:rFonts w:ascii="Times New Roman" w:hAnsi="Times New Roman"/>
          <w:i/>
        </w:rPr>
        <w:t>Böckenförde</w:t>
      </w:r>
      <w:r w:rsidRPr="00372388">
        <w:rPr>
          <w:rFonts w:ascii="Times New Roman" w:hAnsi="Times New Roman"/>
        </w:rPr>
        <w:t xml:space="preserve">, in: </w:t>
      </w:r>
      <w:r>
        <w:rPr>
          <w:rFonts w:ascii="Times New Roman" w:hAnsi="Times New Roman"/>
        </w:rPr>
        <w:t xml:space="preserve">Isensee/Kirchhof (Hrsg.), </w:t>
      </w:r>
      <w:r w:rsidRPr="00372388">
        <w:rPr>
          <w:rFonts w:ascii="Times New Roman" w:hAnsi="Times New Roman"/>
        </w:rPr>
        <w:t>HStR II, §</w:t>
      </w:r>
      <w:r>
        <w:rPr>
          <w:rFonts w:ascii="Times New Roman" w:hAnsi="Times New Roman"/>
        </w:rPr>
        <w:t> </w:t>
      </w:r>
      <w:r w:rsidRPr="00372388">
        <w:rPr>
          <w:rFonts w:ascii="Times New Roman" w:hAnsi="Times New Roman"/>
        </w:rPr>
        <w:t xml:space="preserve">24 Rn. 54. </w:t>
      </w:r>
    </w:p>
  </w:footnote>
  <w:footnote w:id="43">
    <w:p w:rsidR="000640CE" w:rsidRPr="00372388" w:rsidRDefault="000640CE" w:rsidP="00287BE9">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w:t>
      </w:r>
      <w:r w:rsidRPr="00372388">
        <w:rPr>
          <w:rFonts w:ascii="Times New Roman" w:hAnsi="Times New Roman"/>
          <w:i/>
        </w:rPr>
        <w:t>Sólyom</w:t>
      </w:r>
      <w:r w:rsidRPr="00372388">
        <w:rPr>
          <w:rFonts w:ascii="Times New Roman" w:hAnsi="Times New Roman"/>
        </w:rPr>
        <w:t xml:space="preserve"> (Fn. 6), § 107 Rn. 47.</w:t>
      </w:r>
    </w:p>
  </w:footnote>
  <w:footnote w:id="44">
    <w:p w:rsidR="000640CE" w:rsidRPr="00372388" w:rsidRDefault="000640CE" w:rsidP="006D0400">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w:t>
      </w:r>
      <w:r w:rsidRPr="00372388">
        <w:rPr>
          <w:rFonts w:ascii="Times New Roman" w:hAnsi="Times New Roman"/>
          <w:i/>
        </w:rPr>
        <w:t xml:space="preserve">A. Voßkuhle, </w:t>
      </w:r>
      <w:r w:rsidRPr="00372388">
        <w:rPr>
          <w:rFonts w:ascii="Times New Roman" w:hAnsi="Times New Roman"/>
        </w:rPr>
        <w:t xml:space="preserve">Der europäische Verfassungsgerichtsverbund, NVwZ 2010, </w:t>
      </w:r>
      <w:r>
        <w:rPr>
          <w:rFonts w:ascii="Times New Roman" w:hAnsi="Times New Roman"/>
        </w:rPr>
        <w:t>S. </w:t>
      </w:r>
      <w:r w:rsidRPr="00372388">
        <w:rPr>
          <w:rFonts w:ascii="Times New Roman" w:hAnsi="Times New Roman"/>
        </w:rPr>
        <w:t>1.</w:t>
      </w:r>
    </w:p>
  </w:footnote>
  <w:footnote w:id="45">
    <w:p w:rsidR="000640CE" w:rsidRPr="00372388" w:rsidRDefault="000640CE">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w:t>
      </w:r>
      <w:hyperlink r:id="rId1" w:anchor="focuspoint" w:history="1">
        <w:r w:rsidRPr="00372388">
          <w:rPr>
            <w:rStyle w:val="Hyperlink"/>
            <w:rFonts w:ascii="Times New Roman" w:hAnsi="Times New Roman"/>
            <w:color w:val="auto"/>
            <w:u w:val="none"/>
          </w:rPr>
          <w:t>BVerfGE 126, 286</w:t>
        </w:r>
      </w:hyperlink>
      <w:r w:rsidRPr="00372388">
        <w:rPr>
          <w:rFonts w:ascii="Times New Roman" w:hAnsi="Times New Roman"/>
        </w:rPr>
        <w:t xml:space="preserve"> (301) </w:t>
      </w:r>
      <w:r>
        <w:rPr>
          <w:rFonts w:ascii="Times New Roman" w:hAnsi="Times New Roman"/>
        </w:rPr>
        <w:t>–</w:t>
      </w:r>
      <w:r w:rsidRPr="00372388">
        <w:rPr>
          <w:rFonts w:ascii="Times New Roman" w:hAnsi="Times New Roman"/>
        </w:rPr>
        <w:t xml:space="preserve"> </w:t>
      </w:r>
      <w:r w:rsidRPr="001D75DC">
        <w:rPr>
          <w:rFonts w:ascii="Times New Roman" w:hAnsi="Times New Roman"/>
          <w:i/>
        </w:rPr>
        <w:t>Honeywell</w:t>
      </w:r>
      <w:r w:rsidRPr="00372388">
        <w:rPr>
          <w:rFonts w:ascii="Times New Roman" w:hAnsi="Times New Roman"/>
        </w:rPr>
        <w:t xml:space="preserve">; </w:t>
      </w:r>
      <w:bookmarkStart w:id="11" w:name="HL13"/>
      <w:r w:rsidRPr="00372388">
        <w:rPr>
          <w:rFonts w:ascii="Times New Roman" w:hAnsi="Times New Roman"/>
        </w:rPr>
        <w:t xml:space="preserve">140, 317 (335 Rn. 38) – </w:t>
      </w:r>
      <w:r w:rsidRPr="001D75DC">
        <w:rPr>
          <w:rFonts w:ascii="Times New Roman" w:hAnsi="Times New Roman"/>
          <w:i/>
        </w:rPr>
        <w:t>Identitätskontrolle I</w:t>
      </w:r>
      <w:r w:rsidRPr="00372388">
        <w:rPr>
          <w:rFonts w:ascii="Times New Roman" w:hAnsi="Times New Roman"/>
        </w:rPr>
        <w:t xml:space="preserve">; 142, 123 (187 Rn. 188) – OMT; </w:t>
      </w:r>
      <w:bookmarkEnd w:id="11"/>
      <w:r w:rsidRPr="00372388">
        <w:rPr>
          <w:rFonts w:ascii="Times New Roman" w:hAnsi="Times New Roman"/>
        </w:rPr>
        <w:fldChar w:fldCharType="begin"/>
      </w:r>
      <w:r w:rsidRPr="00372388">
        <w:rPr>
          <w:rFonts w:ascii="Times New Roman" w:hAnsi="Times New Roman"/>
        </w:rPr>
        <w:instrText xml:space="preserve"> HYPERLINK "https://www.juris.de/jportal/portal/t/wm3/page/jurisw.psml?pid=Dokumentanzeige&amp;showdoccase=1&amp;js_peid=Trefferliste&amp;documentnumber=1&amp;numberofresults=2&amp;fromdoctodoc=yes&amp;doc.id=KVRE412011501&amp;doc.part=K&amp;doc.price=0.0" \l "focuspoint" </w:instrText>
      </w:r>
      <w:r w:rsidRPr="00372388">
        <w:rPr>
          <w:rFonts w:ascii="Times New Roman" w:hAnsi="Times New Roman"/>
        </w:rPr>
        <w:fldChar w:fldCharType="separate"/>
      </w:r>
      <w:r w:rsidRPr="00372388">
        <w:rPr>
          <w:rStyle w:val="Hyperlink"/>
          <w:rFonts w:ascii="Times New Roman" w:hAnsi="Times New Roman"/>
          <w:color w:val="auto"/>
          <w:u w:val="none"/>
        </w:rPr>
        <w:t>BVerfG, Beschluss der 3.</w:t>
      </w:r>
      <w:r>
        <w:rPr>
          <w:rStyle w:val="Hyperlink"/>
          <w:rFonts w:ascii="Times New Roman" w:hAnsi="Times New Roman"/>
          <w:color w:val="auto"/>
          <w:u w:val="none"/>
        </w:rPr>
        <w:t> </w:t>
      </w:r>
      <w:r w:rsidRPr="00372388">
        <w:rPr>
          <w:rStyle w:val="Hyperlink"/>
          <w:rFonts w:ascii="Times New Roman" w:hAnsi="Times New Roman"/>
          <w:color w:val="auto"/>
          <w:u w:val="none"/>
        </w:rPr>
        <w:t>Kammer des Zweiten Senats vom 4.</w:t>
      </w:r>
      <w:r>
        <w:rPr>
          <w:rStyle w:val="Hyperlink"/>
          <w:rFonts w:ascii="Times New Roman" w:hAnsi="Times New Roman"/>
          <w:color w:val="auto"/>
          <w:u w:val="none"/>
        </w:rPr>
        <w:t> </w:t>
      </w:r>
      <w:r w:rsidRPr="00372388">
        <w:rPr>
          <w:rStyle w:val="Hyperlink"/>
          <w:rFonts w:ascii="Times New Roman" w:hAnsi="Times New Roman"/>
          <w:color w:val="auto"/>
          <w:u w:val="none"/>
        </w:rPr>
        <w:t xml:space="preserve">November 2015 </w:t>
      </w:r>
      <w:r w:rsidRPr="00372388">
        <w:rPr>
          <w:rFonts w:ascii="Times New Roman" w:hAnsi="Times New Roman"/>
        </w:rPr>
        <w:t xml:space="preserve">– </w:t>
      </w:r>
      <w:r w:rsidRPr="00372388">
        <w:rPr>
          <w:rStyle w:val="Hyperlink"/>
          <w:rFonts w:ascii="Times New Roman" w:hAnsi="Times New Roman"/>
          <w:color w:val="auto"/>
          <w:u w:val="none"/>
        </w:rPr>
        <w:t>2 BvR 282/13</w:t>
      </w:r>
      <w:r w:rsidRPr="00372388">
        <w:rPr>
          <w:rFonts w:ascii="Times New Roman" w:hAnsi="Times New Roman"/>
        </w:rPr>
        <w:fldChar w:fldCharType="end"/>
      </w:r>
      <w:r w:rsidRPr="00372388">
        <w:rPr>
          <w:rFonts w:ascii="Times New Roman" w:hAnsi="Times New Roman"/>
        </w:rPr>
        <w:t xml:space="preserve">, </w:t>
      </w:r>
      <w:hyperlink r:id="rId2" w:anchor="focuspoint" w:history="1">
        <w:r w:rsidRPr="00372388">
          <w:rPr>
            <w:rStyle w:val="Hyperlink"/>
            <w:rFonts w:ascii="Times New Roman" w:hAnsi="Times New Roman"/>
            <w:color w:val="auto"/>
            <w:u w:val="none"/>
          </w:rPr>
          <w:t>2 BvQ 56/12</w:t>
        </w:r>
      </w:hyperlink>
      <w:r w:rsidRPr="00372388">
        <w:rPr>
          <w:rFonts w:ascii="Times New Roman" w:hAnsi="Times New Roman"/>
        </w:rPr>
        <w:t xml:space="preserve"> </w:t>
      </w:r>
      <w:r>
        <w:rPr>
          <w:rFonts w:ascii="Times New Roman" w:hAnsi="Times New Roman"/>
        </w:rPr>
        <w:t>–</w:t>
      </w:r>
      <w:r w:rsidRPr="00372388">
        <w:rPr>
          <w:rFonts w:ascii="Times New Roman" w:hAnsi="Times New Roman"/>
        </w:rPr>
        <w:t xml:space="preserve">, juris, </w:t>
      </w:r>
      <w:hyperlink r:id="rId3" w:anchor="rd_15" w:history="1">
        <w:r w:rsidRPr="00372388">
          <w:rPr>
            <w:rStyle w:val="Hyperlink"/>
            <w:rFonts w:ascii="Times New Roman" w:hAnsi="Times New Roman"/>
            <w:color w:val="auto"/>
            <w:u w:val="none"/>
          </w:rPr>
          <w:t>Rn. 15</w:t>
        </w:r>
      </w:hyperlink>
      <w:r w:rsidRPr="00372388">
        <w:rPr>
          <w:rFonts w:ascii="Times New Roman" w:hAnsi="Times New Roman"/>
        </w:rPr>
        <w:t>, 19.</w:t>
      </w:r>
    </w:p>
  </w:footnote>
  <w:footnote w:id="46">
    <w:p w:rsidR="000640CE" w:rsidRPr="00372388" w:rsidRDefault="000640CE" w:rsidP="00C40012">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w:t>
      </w:r>
      <w:r w:rsidRPr="00372388">
        <w:rPr>
          <w:rFonts w:ascii="Times New Roman" w:hAnsi="Times New Roman"/>
          <w:i/>
        </w:rPr>
        <w:t>I. Pernice</w:t>
      </w:r>
      <w:r w:rsidRPr="00372388">
        <w:rPr>
          <w:rFonts w:ascii="Times New Roman" w:hAnsi="Times New Roman"/>
        </w:rPr>
        <w:t>, Europäisches Verfassungsrecht im Werden</w:t>
      </w:r>
      <w:r>
        <w:rPr>
          <w:rFonts w:ascii="Times New Roman" w:hAnsi="Times New Roman"/>
        </w:rPr>
        <w:t>, 2000</w:t>
      </w:r>
      <w:r w:rsidRPr="00372388">
        <w:rPr>
          <w:rFonts w:ascii="Times New Roman" w:hAnsi="Times New Roman"/>
        </w:rPr>
        <w:t xml:space="preserve">, S. 25 (35); </w:t>
      </w:r>
      <w:r w:rsidRPr="00372388">
        <w:rPr>
          <w:rFonts w:ascii="Times New Roman" w:hAnsi="Times New Roman"/>
          <w:i/>
        </w:rPr>
        <w:t>P. Birkinshaw/M. Künnecke</w:t>
      </w:r>
      <w:r w:rsidRPr="00372388">
        <w:rPr>
          <w:rFonts w:ascii="Times New Roman" w:hAnsi="Times New Roman"/>
        </w:rPr>
        <w:t xml:space="preserve">, Offene Staatlichkeit: Großbritannien, in: </w:t>
      </w:r>
      <w:r>
        <w:rPr>
          <w:rFonts w:ascii="Times New Roman" w:hAnsi="Times New Roman"/>
        </w:rPr>
        <w:t xml:space="preserve">v. Bogdandy/Cruz Villalón/Huber (Hrsg.), </w:t>
      </w:r>
      <w:r w:rsidRPr="00372388">
        <w:rPr>
          <w:rFonts w:ascii="Times New Roman" w:hAnsi="Times New Roman"/>
        </w:rPr>
        <w:t>IPE II, 2008, §</w:t>
      </w:r>
      <w:r>
        <w:rPr>
          <w:rFonts w:ascii="Times New Roman" w:hAnsi="Times New Roman"/>
        </w:rPr>
        <w:t> </w:t>
      </w:r>
      <w:r w:rsidRPr="00372388">
        <w:rPr>
          <w:rFonts w:ascii="Times New Roman" w:hAnsi="Times New Roman"/>
        </w:rPr>
        <w:t>17 Rn. 67</w:t>
      </w:r>
      <w:r>
        <w:rPr>
          <w:rFonts w:ascii="Times New Roman" w:hAnsi="Times New Roman"/>
        </w:rPr>
        <w:t> </w:t>
      </w:r>
      <w:r w:rsidRPr="00372388">
        <w:rPr>
          <w:rFonts w:ascii="Times New Roman" w:hAnsi="Times New Roman"/>
        </w:rPr>
        <w:t>f.</w:t>
      </w:r>
    </w:p>
  </w:footnote>
  <w:footnote w:id="47">
    <w:p w:rsidR="000640CE" w:rsidRPr="00372388" w:rsidRDefault="000640CE" w:rsidP="00C40012">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Zum Begriff </w:t>
      </w:r>
      <w:r w:rsidRPr="00372388">
        <w:rPr>
          <w:rFonts w:ascii="Times New Roman" w:hAnsi="Times New Roman"/>
          <w:i/>
        </w:rPr>
        <w:t>P. Häberle</w:t>
      </w:r>
      <w:r w:rsidRPr="00372388">
        <w:rPr>
          <w:rFonts w:ascii="Times New Roman" w:hAnsi="Times New Roman"/>
        </w:rPr>
        <w:t>, Gemeineuropäisches Verfassungsrecht und Verfassungsrecht der EG, in: Schwarze (Hrsg.), Verfassungsrecht und Verfassungsgerichtsbarkeit im Zeichen Europas, 1998, S.</w:t>
      </w:r>
      <w:r>
        <w:rPr>
          <w:rFonts w:ascii="Times New Roman" w:hAnsi="Times New Roman"/>
        </w:rPr>
        <w:t> </w:t>
      </w:r>
      <w:r w:rsidRPr="00372388">
        <w:rPr>
          <w:rFonts w:ascii="Times New Roman" w:hAnsi="Times New Roman"/>
        </w:rPr>
        <w:t>11 (18</w:t>
      </w:r>
      <w:r>
        <w:rPr>
          <w:rFonts w:ascii="Times New Roman" w:hAnsi="Times New Roman"/>
        </w:rPr>
        <w:t> </w:t>
      </w:r>
      <w:r w:rsidRPr="00372388">
        <w:rPr>
          <w:rFonts w:ascii="Times New Roman" w:hAnsi="Times New Roman"/>
        </w:rPr>
        <w:t>f.).</w:t>
      </w:r>
    </w:p>
  </w:footnote>
  <w:footnote w:id="48">
    <w:p w:rsidR="000640CE" w:rsidRPr="00372388" w:rsidRDefault="000640CE">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Zur Identitätskontrolle vgl. </w:t>
      </w:r>
      <w:hyperlink r:id="rId4" w:anchor="focuspoint" w:history="1">
        <w:r w:rsidRPr="00372388">
          <w:rPr>
            <w:rStyle w:val="Hyperlink"/>
            <w:rFonts w:ascii="Times New Roman" w:hAnsi="Times New Roman"/>
            <w:color w:val="auto"/>
            <w:u w:val="none"/>
          </w:rPr>
          <w:t xml:space="preserve">BVerfGE </w:t>
        </w:r>
        <w:hyperlink r:id="rId5" w:anchor="focuspoint" w:history="1">
          <w:r w:rsidRPr="00372388">
            <w:rPr>
              <w:rStyle w:val="Hyperlink"/>
              <w:rFonts w:ascii="Times New Roman" w:hAnsi="Times New Roman"/>
              <w:color w:val="auto"/>
              <w:u w:val="none"/>
            </w:rPr>
            <w:t>37, 271</w:t>
          </w:r>
        </w:hyperlink>
        <w:r w:rsidRPr="00372388">
          <w:rPr>
            <w:rFonts w:ascii="Times New Roman" w:hAnsi="Times New Roman"/>
          </w:rPr>
          <w:t xml:space="preserve"> (280 ff.) – </w:t>
        </w:r>
        <w:r w:rsidRPr="001D75DC">
          <w:rPr>
            <w:rFonts w:ascii="Times New Roman" w:hAnsi="Times New Roman"/>
            <w:i/>
          </w:rPr>
          <w:t>Solange I</w:t>
        </w:r>
        <w:r w:rsidRPr="00372388">
          <w:rPr>
            <w:rFonts w:ascii="Times New Roman" w:hAnsi="Times New Roman"/>
          </w:rPr>
          <w:t>; 73, 339 (374</w:t>
        </w:r>
        <w:r>
          <w:rPr>
            <w:rFonts w:ascii="Times New Roman" w:hAnsi="Times New Roman"/>
          </w:rPr>
          <w:t> </w:t>
        </w:r>
        <w:r w:rsidRPr="00372388">
          <w:rPr>
            <w:rFonts w:ascii="Times New Roman" w:hAnsi="Times New Roman"/>
          </w:rPr>
          <w:t xml:space="preserve">ff.) – </w:t>
        </w:r>
        <w:r w:rsidRPr="001D75DC">
          <w:rPr>
            <w:rFonts w:ascii="Times New Roman" w:hAnsi="Times New Roman"/>
            <w:i/>
          </w:rPr>
          <w:t>Solange II</w:t>
        </w:r>
        <w:r w:rsidRPr="00372388">
          <w:rPr>
            <w:rFonts w:ascii="Times New Roman" w:hAnsi="Times New Roman"/>
          </w:rPr>
          <w:t xml:space="preserve">; 75, 223 (235, 242) – </w:t>
        </w:r>
        <w:r w:rsidRPr="001D75DC">
          <w:rPr>
            <w:rFonts w:ascii="Times New Roman" w:hAnsi="Times New Roman"/>
            <w:i/>
          </w:rPr>
          <w:t>Kloppenburg</w:t>
        </w:r>
        <w:r w:rsidRPr="00372388">
          <w:rPr>
            <w:rFonts w:ascii="Times New Roman" w:hAnsi="Times New Roman"/>
          </w:rPr>
          <w:t>; 89, 155 (174</w:t>
        </w:r>
        <w:r>
          <w:rPr>
            <w:rFonts w:ascii="Times New Roman" w:hAnsi="Times New Roman"/>
          </w:rPr>
          <w:t> </w:t>
        </w:r>
        <w:r w:rsidRPr="00372388">
          <w:rPr>
            <w:rFonts w:ascii="Times New Roman" w:hAnsi="Times New Roman"/>
          </w:rPr>
          <w:t xml:space="preserve">f.) – </w:t>
        </w:r>
        <w:r w:rsidRPr="001D75DC">
          <w:rPr>
            <w:rFonts w:ascii="Times New Roman" w:hAnsi="Times New Roman"/>
            <w:i/>
          </w:rPr>
          <w:t>Maastricht</w:t>
        </w:r>
        <w:r w:rsidRPr="00372388">
          <w:rPr>
            <w:rFonts w:ascii="Times New Roman" w:hAnsi="Times New Roman"/>
          </w:rPr>
          <w:t>; 102, 147 (162</w:t>
        </w:r>
        <w:r>
          <w:rPr>
            <w:rFonts w:ascii="Times New Roman" w:hAnsi="Times New Roman"/>
          </w:rPr>
          <w:t> </w:t>
        </w:r>
        <w:r w:rsidRPr="00372388">
          <w:rPr>
            <w:rFonts w:ascii="Times New Roman" w:hAnsi="Times New Roman"/>
          </w:rPr>
          <w:t xml:space="preserve">ff.) – </w:t>
        </w:r>
        <w:r w:rsidRPr="001D75DC">
          <w:rPr>
            <w:rFonts w:ascii="Times New Roman" w:hAnsi="Times New Roman"/>
            <w:i/>
          </w:rPr>
          <w:t>Bananenmarkt</w:t>
        </w:r>
        <w:r w:rsidRPr="00372388">
          <w:rPr>
            <w:rFonts w:ascii="Times New Roman" w:hAnsi="Times New Roman"/>
          </w:rPr>
          <w:t>;</w:t>
        </w:r>
        <w:r w:rsidRPr="00372388">
          <w:rPr>
            <w:rStyle w:val="Hyperlink"/>
            <w:rFonts w:ascii="Times New Roman" w:hAnsi="Times New Roman"/>
            <w:color w:val="auto"/>
            <w:u w:val="none"/>
          </w:rPr>
          <w:t>123, 267</w:t>
        </w:r>
      </w:hyperlink>
      <w:r w:rsidRPr="00372388">
        <w:rPr>
          <w:rFonts w:ascii="Times New Roman" w:hAnsi="Times New Roman"/>
        </w:rPr>
        <w:t xml:space="preserve"> (344, 353</w:t>
      </w:r>
      <w:r>
        <w:rPr>
          <w:rFonts w:ascii="Times New Roman" w:hAnsi="Times New Roman"/>
        </w:rPr>
        <w:t> </w:t>
      </w:r>
      <w:r w:rsidRPr="00372388">
        <w:rPr>
          <w:rFonts w:ascii="Times New Roman" w:hAnsi="Times New Roman"/>
        </w:rPr>
        <w:t xml:space="preserve">f.) – </w:t>
      </w:r>
      <w:r w:rsidRPr="001D75DC">
        <w:rPr>
          <w:rFonts w:ascii="Times New Roman" w:hAnsi="Times New Roman"/>
          <w:i/>
        </w:rPr>
        <w:t>Lissabon</w:t>
      </w:r>
      <w:r w:rsidRPr="00372388">
        <w:rPr>
          <w:rFonts w:ascii="Times New Roman" w:hAnsi="Times New Roman"/>
        </w:rPr>
        <w:t xml:space="preserve">; </w:t>
      </w:r>
      <w:hyperlink r:id="rId6" w:anchor="focuspoint" w:history="1">
        <w:r w:rsidRPr="00372388">
          <w:rPr>
            <w:rStyle w:val="Hyperlink"/>
            <w:rFonts w:ascii="Times New Roman" w:hAnsi="Times New Roman"/>
            <w:color w:val="auto"/>
            <w:u w:val="none"/>
          </w:rPr>
          <w:t>126, 286</w:t>
        </w:r>
      </w:hyperlink>
      <w:r w:rsidRPr="00372388">
        <w:rPr>
          <w:rFonts w:ascii="Times New Roman" w:hAnsi="Times New Roman"/>
        </w:rPr>
        <w:t xml:space="preserve"> (302) – </w:t>
      </w:r>
      <w:r w:rsidRPr="001D75DC">
        <w:rPr>
          <w:rFonts w:ascii="Times New Roman" w:hAnsi="Times New Roman"/>
          <w:i/>
        </w:rPr>
        <w:t>Honeywell</w:t>
      </w:r>
      <w:r w:rsidRPr="00372388">
        <w:rPr>
          <w:rFonts w:ascii="Times New Roman" w:hAnsi="Times New Roman"/>
        </w:rPr>
        <w:t xml:space="preserve">; </w:t>
      </w:r>
      <w:hyperlink r:id="rId7" w:anchor="focuspoint" w:history="1">
        <w:r w:rsidRPr="00372388">
          <w:rPr>
            <w:rStyle w:val="Hyperlink"/>
            <w:rFonts w:ascii="Times New Roman" w:hAnsi="Times New Roman"/>
            <w:color w:val="auto"/>
            <w:u w:val="none"/>
          </w:rPr>
          <w:t>129, 78</w:t>
        </w:r>
      </w:hyperlink>
      <w:r w:rsidRPr="00372388">
        <w:rPr>
          <w:rFonts w:ascii="Times New Roman" w:hAnsi="Times New Roman"/>
        </w:rPr>
        <w:t xml:space="preserve"> (100) – </w:t>
      </w:r>
      <w:r w:rsidRPr="001D75DC">
        <w:rPr>
          <w:rFonts w:ascii="Times New Roman" w:hAnsi="Times New Roman"/>
          <w:i/>
        </w:rPr>
        <w:t>Cassina</w:t>
      </w:r>
      <w:r w:rsidRPr="00372388">
        <w:rPr>
          <w:rFonts w:ascii="Times New Roman" w:hAnsi="Times New Roman"/>
        </w:rPr>
        <w:t xml:space="preserve">; </w:t>
      </w:r>
      <w:hyperlink r:id="rId8" w:anchor="focuspoint" w:history="1">
        <w:r w:rsidRPr="00372388">
          <w:rPr>
            <w:rStyle w:val="Hyperlink"/>
            <w:rFonts w:ascii="Times New Roman" w:hAnsi="Times New Roman"/>
            <w:color w:val="auto"/>
            <w:u w:val="none"/>
          </w:rPr>
          <w:t>134, 366</w:t>
        </w:r>
      </w:hyperlink>
      <w:r w:rsidRPr="00372388">
        <w:rPr>
          <w:rFonts w:ascii="Times New Roman" w:hAnsi="Times New Roman"/>
        </w:rPr>
        <w:t xml:space="preserve"> (384</w:t>
      </w:r>
      <w:r>
        <w:rPr>
          <w:rFonts w:ascii="Times New Roman" w:hAnsi="Times New Roman"/>
        </w:rPr>
        <w:t> </w:t>
      </w:r>
      <w:r w:rsidRPr="00372388">
        <w:rPr>
          <w:rFonts w:ascii="Times New Roman" w:hAnsi="Times New Roman"/>
        </w:rPr>
        <w:t xml:space="preserve">f. Rn. 27) – </w:t>
      </w:r>
      <w:r w:rsidRPr="001D75DC">
        <w:rPr>
          <w:rFonts w:ascii="Times New Roman" w:hAnsi="Times New Roman"/>
          <w:i/>
        </w:rPr>
        <w:t>OMT</w:t>
      </w:r>
      <w:r w:rsidRPr="00372388">
        <w:rPr>
          <w:rFonts w:ascii="Times New Roman" w:hAnsi="Times New Roman"/>
        </w:rPr>
        <w:t xml:space="preserve">-Vorlage; 140, 317 (341 Rn. 48) – </w:t>
      </w:r>
      <w:r w:rsidRPr="001D75DC">
        <w:rPr>
          <w:rFonts w:ascii="Times New Roman" w:hAnsi="Times New Roman"/>
          <w:i/>
        </w:rPr>
        <w:t>Identitätskontrolle</w:t>
      </w:r>
      <w:r w:rsidRPr="00372388">
        <w:rPr>
          <w:rFonts w:ascii="Times New Roman" w:hAnsi="Times New Roman"/>
        </w:rPr>
        <w:t xml:space="preserve"> I; 142, 123 (195 Rn. 138) – </w:t>
      </w:r>
      <w:r w:rsidRPr="001D75DC">
        <w:rPr>
          <w:rFonts w:ascii="Times New Roman" w:hAnsi="Times New Roman"/>
          <w:i/>
        </w:rPr>
        <w:t>OMT</w:t>
      </w:r>
      <w:r w:rsidRPr="00372388">
        <w:rPr>
          <w:rFonts w:ascii="Times New Roman" w:hAnsi="Times New Roman"/>
        </w:rPr>
        <w:t>.</w:t>
      </w:r>
    </w:p>
  </w:footnote>
  <w:footnote w:id="49">
    <w:p w:rsidR="000640CE" w:rsidRPr="00372388" w:rsidRDefault="000640CE">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Zur Ultra-vires-Kontrolle BVerfGE 123, 267 (354) – </w:t>
      </w:r>
      <w:r w:rsidRPr="001D75DC">
        <w:rPr>
          <w:rFonts w:ascii="Times New Roman" w:hAnsi="Times New Roman"/>
          <w:i/>
        </w:rPr>
        <w:t>Lissabon</w:t>
      </w:r>
      <w:r w:rsidRPr="00372388">
        <w:rPr>
          <w:rFonts w:ascii="Times New Roman" w:hAnsi="Times New Roman"/>
        </w:rPr>
        <w:t>; 126, 286 (303</w:t>
      </w:r>
      <w:r>
        <w:rPr>
          <w:rFonts w:ascii="Times New Roman" w:hAnsi="Times New Roman"/>
        </w:rPr>
        <w:t> </w:t>
      </w:r>
      <w:r w:rsidRPr="00372388">
        <w:rPr>
          <w:rFonts w:ascii="Times New Roman" w:hAnsi="Times New Roman"/>
        </w:rPr>
        <w:t xml:space="preserve">f.) – </w:t>
      </w:r>
      <w:r w:rsidRPr="001D75DC">
        <w:rPr>
          <w:rFonts w:ascii="Times New Roman" w:hAnsi="Times New Roman"/>
          <w:i/>
        </w:rPr>
        <w:t>Honeywell</w:t>
      </w:r>
      <w:r w:rsidRPr="00372388">
        <w:rPr>
          <w:rFonts w:ascii="Times New Roman" w:hAnsi="Times New Roman"/>
        </w:rPr>
        <w:t xml:space="preserve">; </w:t>
      </w:r>
      <w:hyperlink r:id="rId9" w:anchor="focuspoint" w:history="1">
        <w:r w:rsidRPr="00372388">
          <w:rPr>
            <w:rStyle w:val="Hyperlink"/>
            <w:rFonts w:ascii="Times New Roman" w:hAnsi="Times New Roman"/>
            <w:color w:val="auto"/>
            <w:u w:val="none"/>
          </w:rPr>
          <w:t>134, 366</w:t>
        </w:r>
      </w:hyperlink>
      <w:r w:rsidRPr="00372388">
        <w:rPr>
          <w:rFonts w:ascii="Times New Roman" w:hAnsi="Times New Roman"/>
        </w:rPr>
        <w:t xml:space="preserve"> (382</w:t>
      </w:r>
      <w:r>
        <w:rPr>
          <w:rFonts w:ascii="Times New Roman" w:hAnsi="Times New Roman"/>
        </w:rPr>
        <w:t> </w:t>
      </w:r>
      <w:r w:rsidRPr="00372388">
        <w:rPr>
          <w:rFonts w:ascii="Times New Roman" w:hAnsi="Times New Roman"/>
        </w:rPr>
        <w:t>ff. Rn. 22</w:t>
      </w:r>
      <w:r>
        <w:rPr>
          <w:rFonts w:ascii="Times New Roman" w:hAnsi="Times New Roman"/>
        </w:rPr>
        <w:t> </w:t>
      </w:r>
      <w:r w:rsidRPr="00372388">
        <w:rPr>
          <w:rFonts w:ascii="Times New Roman" w:hAnsi="Times New Roman"/>
        </w:rPr>
        <w:t xml:space="preserve">ff.) – </w:t>
      </w:r>
      <w:r w:rsidRPr="001D75DC">
        <w:rPr>
          <w:rFonts w:ascii="Times New Roman" w:hAnsi="Times New Roman"/>
          <w:i/>
        </w:rPr>
        <w:t>OMT-Vorlage</w:t>
      </w:r>
      <w:r w:rsidRPr="00372388">
        <w:rPr>
          <w:rFonts w:ascii="Times New Roman" w:hAnsi="Times New Roman"/>
        </w:rPr>
        <w:t>; 142, 123 (198 Rn. 143</w:t>
      </w:r>
      <w:r>
        <w:rPr>
          <w:rFonts w:ascii="Times New Roman" w:hAnsi="Times New Roman"/>
        </w:rPr>
        <w:t> </w:t>
      </w:r>
      <w:r w:rsidRPr="00372388">
        <w:rPr>
          <w:rFonts w:ascii="Times New Roman" w:hAnsi="Times New Roman"/>
        </w:rPr>
        <w:t xml:space="preserve">ff.) – </w:t>
      </w:r>
      <w:r w:rsidRPr="001D75DC">
        <w:rPr>
          <w:rFonts w:ascii="Times New Roman" w:hAnsi="Times New Roman"/>
          <w:i/>
        </w:rPr>
        <w:t>OMT</w:t>
      </w:r>
      <w:r w:rsidRPr="00372388">
        <w:rPr>
          <w:rFonts w:ascii="Times New Roman" w:hAnsi="Times New Roman"/>
        </w:rPr>
        <w:t xml:space="preserve"> m.w.N.</w:t>
      </w:r>
    </w:p>
  </w:footnote>
  <w:footnote w:id="50">
    <w:p w:rsidR="000640CE" w:rsidRPr="00372388" w:rsidRDefault="000640CE" w:rsidP="006D0400">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w:t>
      </w:r>
      <w:r w:rsidRPr="00372388">
        <w:rPr>
          <w:rFonts w:ascii="Times New Roman" w:hAnsi="Times New Roman"/>
          <w:i/>
        </w:rPr>
        <w:t xml:space="preserve">P. M. Huber </w:t>
      </w:r>
      <w:r w:rsidRPr="00372388">
        <w:rPr>
          <w:rFonts w:ascii="Times New Roman" w:hAnsi="Times New Roman"/>
        </w:rPr>
        <w:t xml:space="preserve">(Fn. 35), </w:t>
      </w:r>
      <w:r>
        <w:rPr>
          <w:rFonts w:ascii="Times New Roman" w:hAnsi="Times New Roman"/>
        </w:rPr>
        <w:t>S. </w:t>
      </w:r>
      <w:r w:rsidRPr="00372388">
        <w:rPr>
          <w:rFonts w:ascii="Times New Roman" w:hAnsi="Times New Roman"/>
        </w:rPr>
        <w:t>194 (227).</w:t>
      </w:r>
    </w:p>
  </w:footnote>
  <w:footnote w:id="51">
    <w:p w:rsidR="000640CE" w:rsidRPr="00372388" w:rsidRDefault="000640CE" w:rsidP="006D0400">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Deutschland: BVerfGE 52, 197, 200 – </w:t>
      </w:r>
      <w:r w:rsidRPr="001D75DC">
        <w:rPr>
          <w:rFonts w:ascii="Times New Roman" w:hAnsi="Times New Roman"/>
          <w:i/>
        </w:rPr>
        <w:t>Vielleicht</w:t>
      </w:r>
      <w:r w:rsidRPr="00372388">
        <w:rPr>
          <w:rFonts w:ascii="Times New Roman" w:hAnsi="Times New Roman"/>
        </w:rPr>
        <w:t>; 73, 339 (367</w:t>
      </w:r>
      <w:r>
        <w:rPr>
          <w:rFonts w:ascii="Times New Roman" w:hAnsi="Times New Roman"/>
        </w:rPr>
        <w:t> </w:t>
      </w:r>
      <w:r w:rsidRPr="00372388">
        <w:rPr>
          <w:rFonts w:ascii="Times New Roman" w:hAnsi="Times New Roman"/>
        </w:rPr>
        <w:t xml:space="preserve">f.) – </w:t>
      </w:r>
      <w:r w:rsidRPr="001D75DC">
        <w:rPr>
          <w:rFonts w:ascii="Times New Roman" w:hAnsi="Times New Roman"/>
          <w:i/>
        </w:rPr>
        <w:t>Solange II</w:t>
      </w:r>
      <w:r w:rsidRPr="00372388">
        <w:rPr>
          <w:rFonts w:ascii="Times New Roman" w:hAnsi="Times New Roman"/>
        </w:rPr>
        <w:t xml:space="preserve">; Frankreich: CC No. 92-308 DC v. 9.4.1992, EuGRZ 1993, </w:t>
      </w:r>
      <w:r>
        <w:rPr>
          <w:rFonts w:ascii="Times New Roman" w:hAnsi="Times New Roman"/>
        </w:rPr>
        <w:t>S. </w:t>
      </w:r>
      <w:r w:rsidRPr="00372388">
        <w:rPr>
          <w:rFonts w:ascii="Times New Roman" w:hAnsi="Times New Roman"/>
        </w:rPr>
        <w:t xml:space="preserve">187 (190) – </w:t>
      </w:r>
      <w:r w:rsidRPr="001D75DC">
        <w:rPr>
          <w:rFonts w:ascii="Times New Roman" w:hAnsi="Times New Roman"/>
          <w:i/>
        </w:rPr>
        <w:t>Maastricht</w:t>
      </w:r>
      <w:r w:rsidRPr="002C7B39">
        <w:rPr>
          <w:rFonts w:ascii="Times New Roman" w:hAnsi="Times New Roman"/>
          <w:i/>
        </w:rPr>
        <w:t xml:space="preserve"> </w:t>
      </w:r>
      <w:r w:rsidRPr="001D75DC">
        <w:rPr>
          <w:rFonts w:ascii="Times New Roman" w:hAnsi="Times New Roman"/>
          <w:i/>
        </w:rPr>
        <w:t>I</w:t>
      </w:r>
      <w:r w:rsidRPr="00372388">
        <w:rPr>
          <w:rFonts w:ascii="Times New Roman" w:hAnsi="Times New Roman"/>
        </w:rPr>
        <w:t>: Die unionale Rechtsordnung sei eine eigene Recht</w:t>
      </w:r>
      <w:r w:rsidRPr="00372388">
        <w:rPr>
          <w:rFonts w:ascii="Times New Roman" w:hAnsi="Times New Roman"/>
        </w:rPr>
        <w:t>s</w:t>
      </w:r>
      <w:r w:rsidRPr="00372388">
        <w:rPr>
          <w:rFonts w:ascii="Times New Roman" w:hAnsi="Times New Roman"/>
        </w:rPr>
        <w:t xml:space="preserve">ordnung, „die, auch wenn sie in die nationalen Rechtsordnungen der Mitgliedstaaten eingebunden ist, doch nicht zum institutionellen Gefüge der französischen Republik gehört“; Italien: Corte </w:t>
      </w:r>
      <w:r w:rsidRPr="00372388">
        <w:rPr>
          <w:rFonts w:ascii="Times New Roman" w:hAnsi="Times New Roman"/>
          <w:lang w:val="it-IT"/>
        </w:rPr>
        <w:t>costituzionale,</w:t>
      </w:r>
      <w:r w:rsidRPr="00372388">
        <w:rPr>
          <w:rFonts w:ascii="Times New Roman" w:hAnsi="Times New Roman"/>
        </w:rPr>
        <w:t xml:space="preserve"> No. 170/1984, Giur.Cost. 1984, </w:t>
      </w:r>
      <w:r>
        <w:rPr>
          <w:rFonts w:ascii="Times New Roman" w:hAnsi="Times New Roman"/>
        </w:rPr>
        <w:t>S. </w:t>
      </w:r>
      <w:r w:rsidRPr="00372388">
        <w:rPr>
          <w:rFonts w:ascii="Times New Roman" w:hAnsi="Times New Roman"/>
        </w:rPr>
        <w:t xml:space="preserve">1099 (1113); No. 389/1989 v. 11.7.1989, RidDPC 1991, </w:t>
      </w:r>
      <w:r>
        <w:rPr>
          <w:rFonts w:ascii="Times New Roman" w:hAnsi="Times New Roman"/>
        </w:rPr>
        <w:t>S. </w:t>
      </w:r>
      <w:r w:rsidRPr="00372388">
        <w:rPr>
          <w:rFonts w:ascii="Times New Roman" w:hAnsi="Times New Roman"/>
        </w:rPr>
        <w:t xml:space="preserve">1065 (1068): „tra loro coordinati e communicati“; </w:t>
      </w:r>
      <w:r w:rsidRPr="00372388">
        <w:rPr>
          <w:rFonts w:ascii="Times New Roman" w:hAnsi="Times New Roman"/>
          <w:i/>
        </w:rPr>
        <w:t>P. M. Huber</w:t>
      </w:r>
      <w:r w:rsidRPr="00372388">
        <w:rPr>
          <w:rFonts w:ascii="Times New Roman" w:hAnsi="Times New Roman"/>
        </w:rPr>
        <w:t>, Offene Staatlichkeit: Vergleich, in: IPE II</w:t>
      </w:r>
      <w:r>
        <w:rPr>
          <w:rFonts w:ascii="Times New Roman" w:hAnsi="Times New Roman"/>
        </w:rPr>
        <w:t xml:space="preserve"> (Fn. 46)</w:t>
      </w:r>
      <w:r w:rsidRPr="00372388">
        <w:rPr>
          <w:rFonts w:ascii="Times New Roman" w:hAnsi="Times New Roman"/>
        </w:rPr>
        <w:t>, §</w:t>
      </w:r>
      <w:r>
        <w:rPr>
          <w:rFonts w:ascii="Times New Roman" w:hAnsi="Times New Roman"/>
        </w:rPr>
        <w:t> </w:t>
      </w:r>
      <w:r w:rsidRPr="00372388">
        <w:rPr>
          <w:rFonts w:ascii="Times New Roman" w:hAnsi="Times New Roman"/>
        </w:rPr>
        <w:t>26 Rn. 29.</w:t>
      </w:r>
    </w:p>
  </w:footnote>
  <w:footnote w:id="52">
    <w:p w:rsidR="000640CE" w:rsidRPr="00372388" w:rsidRDefault="000640CE" w:rsidP="006D0400">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Zur Vorstellung des Grundgesetzes als bloßer „Teilverfassung“ siehe </w:t>
      </w:r>
      <w:r w:rsidRPr="00372388">
        <w:rPr>
          <w:rFonts w:ascii="Times New Roman" w:hAnsi="Times New Roman"/>
          <w:i/>
        </w:rPr>
        <w:t>A. v. Bogdandy</w:t>
      </w:r>
      <w:r w:rsidRPr="00372388">
        <w:rPr>
          <w:rFonts w:ascii="Times New Roman" w:hAnsi="Times New Roman"/>
        </w:rPr>
        <w:t>, Zweierlei Verfassung</w:t>
      </w:r>
      <w:r w:rsidRPr="00372388">
        <w:rPr>
          <w:rFonts w:ascii="Times New Roman" w:hAnsi="Times New Roman"/>
        </w:rPr>
        <w:t>s</w:t>
      </w:r>
      <w:r w:rsidRPr="00372388">
        <w:rPr>
          <w:rFonts w:ascii="Times New Roman" w:hAnsi="Times New Roman"/>
        </w:rPr>
        <w:t xml:space="preserve">recht. Europäisierung als Gefährdung des gesellschaftlichen Grundkonsenses? Der Staat 39 (2000), </w:t>
      </w:r>
      <w:r>
        <w:rPr>
          <w:rFonts w:ascii="Times New Roman" w:hAnsi="Times New Roman"/>
        </w:rPr>
        <w:t>S. </w:t>
      </w:r>
      <w:r w:rsidRPr="00372388">
        <w:rPr>
          <w:rFonts w:ascii="Times New Roman" w:hAnsi="Times New Roman"/>
        </w:rPr>
        <w:t xml:space="preserve">163 (166): „fragmentarische Ordnung“; </w:t>
      </w:r>
      <w:r w:rsidRPr="00372388">
        <w:rPr>
          <w:rFonts w:ascii="Times New Roman" w:hAnsi="Times New Roman"/>
          <w:i/>
        </w:rPr>
        <w:t>I. Pernice</w:t>
      </w:r>
      <w:r w:rsidRPr="00372388">
        <w:rPr>
          <w:rFonts w:ascii="Times New Roman" w:hAnsi="Times New Roman"/>
        </w:rPr>
        <w:t xml:space="preserve">, Europäisches Verfassungsrecht im Werden, </w:t>
      </w:r>
      <w:r>
        <w:rPr>
          <w:rFonts w:ascii="Times New Roman" w:hAnsi="Times New Roman"/>
        </w:rPr>
        <w:t xml:space="preserve">2000, </w:t>
      </w:r>
      <w:r w:rsidRPr="00372388">
        <w:rPr>
          <w:rFonts w:ascii="Times New Roman" w:hAnsi="Times New Roman"/>
        </w:rPr>
        <w:t>S.</w:t>
      </w:r>
      <w:r>
        <w:rPr>
          <w:rFonts w:ascii="Times New Roman" w:hAnsi="Times New Roman"/>
        </w:rPr>
        <w:t> </w:t>
      </w:r>
      <w:r w:rsidRPr="00372388">
        <w:rPr>
          <w:rFonts w:ascii="Times New Roman" w:hAnsi="Times New Roman"/>
        </w:rPr>
        <w:t>25 (26</w:t>
      </w:r>
      <w:r>
        <w:rPr>
          <w:rFonts w:ascii="Times New Roman" w:hAnsi="Times New Roman"/>
        </w:rPr>
        <w:t> </w:t>
      </w:r>
      <w:r w:rsidRPr="00372388">
        <w:rPr>
          <w:rFonts w:ascii="Times New Roman" w:hAnsi="Times New Roman"/>
        </w:rPr>
        <w:t xml:space="preserve">f., 33); </w:t>
      </w:r>
      <w:r w:rsidRPr="00372388">
        <w:rPr>
          <w:rFonts w:ascii="Times New Roman" w:hAnsi="Times New Roman"/>
          <w:i/>
        </w:rPr>
        <w:t>R.</w:t>
      </w:r>
      <w:r>
        <w:rPr>
          <w:rFonts w:ascii="Times New Roman" w:hAnsi="Times New Roman"/>
          <w:i/>
        </w:rPr>
        <w:t> </w:t>
      </w:r>
      <w:r w:rsidRPr="00372388">
        <w:rPr>
          <w:rFonts w:ascii="Times New Roman" w:hAnsi="Times New Roman"/>
          <w:i/>
        </w:rPr>
        <w:t>Steinberg</w:t>
      </w:r>
      <w:r w:rsidRPr="00372388">
        <w:rPr>
          <w:rFonts w:ascii="Times New Roman" w:hAnsi="Times New Roman"/>
        </w:rPr>
        <w:t xml:space="preserve">, Grundgesetz und Europäische Verfassung, ZRP 1999, </w:t>
      </w:r>
      <w:r>
        <w:rPr>
          <w:rFonts w:ascii="Times New Roman" w:hAnsi="Times New Roman"/>
        </w:rPr>
        <w:t>S. </w:t>
      </w:r>
      <w:r w:rsidRPr="00372388">
        <w:rPr>
          <w:rFonts w:ascii="Times New Roman" w:hAnsi="Times New Roman"/>
        </w:rPr>
        <w:t>365 (373).</w:t>
      </w:r>
    </w:p>
  </w:footnote>
  <w:footnote w:id="53">
    <w:p w:rsidR="000640CE" w:rsidRPr="00372388" w:rsidRDefault="000640CE">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BVerfGE 142, 123 (186</w:t>
      </w:r>
      <w:r>
        <w:rPr>
          <w:rFonts w:ascii="Times New Roman" w:hAnsi="Times New Roman"/>
        </w:rPr>
        <w:t> </w:t>
      </w:r>
      <w:r w:rsidRPr="00372388">
        <w:rPr>
          <w:rFonts w:ascii="Times New Roman" w:hAnsi="Times New Roman"/>
        </w:rPr>
        <w:t>ff. Rn. 117</w:t>
      </w:r>
      <w:r>
        <w:rPr>
          <w:rFonts w:ascii="Times New Roman" w:hAnsi="Times New Roman"/>
        </w:rPr>
        <w:t> </w:t>
      </w:r>
      <w:r w:rsidRPr="00372388">
        <w:rPr>
          <w:rFonts w:ascii="Times New Roman" w:hAnsi="Times New Roman"/>
        </w:rPr>
        <w:t xml:space="preserve">ff.) – </w:t>
      </w:r>
      <w:r w:rsidRPr="001D75DC">
        <w:rPr>
          <w:rFonts w:ascii="Times New Roman" w:hAnsi="Times New Roman"/>
          <w:i/>
        </w:rPr>
        <w:t>OMT</w:t>
      </w:r>
      <w:r w:rsidRPr="00372388">
        <w:rPr>
          <w:rFonts w:ascii="Times New Roman" w:hAnsi="Times New Roman"/>
        </w:rPr>
        <w:t>.</w:t>
      </w:r>
    </w:p>
  </w:footnote>
  <w:footnote w:id="54">
    <w:p w:rsidR="000640CE" w:rsidRPr="00372388" w:rsidRDefault="000640CE" w:rsidP="00940178">
      <w:pPr>
        <w:pStyle w:val="Funotentext"/>
        <w:rPr>
          <w:rFonts w:ascii="Times New Roman" w:hAnsi="Times New Roman"/>
          <w:lang w:val="es-ES"/>
        </w:rPr>
      </w:pPr>
      <w:r w:rsidRPr="00372388">
        <w:rPr>
          <w:rStyle w:val="Funotenzeichen"/>
          <w:rFonts w:ascii="Times New Roman" w:hAnsi="Times New Roman" w:cs="Times New Roman"/>
        </w:rPr>
        <w:footnoteRef/>
      </w:r>
      <w:r w:rsidRPr="00372388">
        <w:rPr>
          <w:rFonts w:ascii="Times New Roman" w:hAnsi="Times New Roman"/>
          <w:lang w:val="es-ES"/>
        </w:rPr>
        <w:t xml:space="preserve"> Vgl. EuGH, Rs. C-50/00P, Slg. 2002, I-6667 Rn. 41 – </w:t>
      </w:r>
      <w:r w:rsidRPr="001D75DC">
        <w:rPr>
          <w:rFonts w:ascii="Times New Roman" w:hAnsi="Times New Roman"/>
          <w:i/>
          <w:lang w:val="es-ES"/>
        </w:rPr>
        <w:t>Unión de Pequeños Agricultores</w:t>
      </w:r>
      <w:r w:rsidRPr="00372388">
        <w:rPr>
          <w:rFonts w:ascii="Times New Roman" w:hAnsi="Times New Roman"/>
          <w:lang w:val="es-ES"/>
        </w:rPr>
        <w:t xml:space="preserve">; </w:t>
      </w:r>
      <w:r>
        <w:rPr>
          <w:rFonts w:ascii="Times New Roman" w:hAnsi="Times New Roman"/>
          <w:i/>
          <w:lang w:val="es-ES"/>
        </w:rPr>
        <w:t xml:space="preserve">M. </w:t>
      </w:r>
      <w:r w:rsidRPr="00372388">
        <w:rPr>
          <w:rFonts w:ascii="Times New Roman" w:hAnsi="Times New Roman"/>
          <w:i/>
          <w:lang w:val="es-ES"/>
        </w:rPr>
        <w:t>Schröder</w:t>
      </w:r>
      <w:r w:rsidRPr="00372388">
        <w:rPr>
          <w:rFonts w:ascii="Times New Roman" w:hAnsi="Times New Roman"/>
          <w:lang w:val="es-ES"/>
        </w:rPr>
        <w:t xml:space="preserve">, </w:t>
      </w:r>
      <w:r w:rsidRPr="00C7495C">
        <w:rPr>
          <w:rFonts w:ascii="Times New Roman" w:hAnsi="Times New Roman"/>
          <w:lang w:val="es-ES"/>
        </w:rPr>
        <w:t>Neuerungen im Rechtsschutz der Europäischen Union durch den Vertrag von Lissabon</w:t>
      </w:r>
      <w:r>
        <w:rPr>
          <w:rFonts w:ascii="Times New Roman" w:hAnsi="Times New Roman"/>
          <w:lang w:val="es-ES"/>
        </w:rPr>
        <w:t xml:space="preserve">, </w:t>
      </w:r>
      <w:r w:rsidRPr="00372388">
        <w:rPr>
          <w:rFonts w:ascii="Times New Roman" w:hAnsi="Times New Roman"/>
          <w:lang w:val="es-ES"/>
        </w:rPr>
        <w:t xml:space="preserve">DÖV 2009, </w:t>
      </w:r>
      <w:r>
        <w:rPr>
          <w:rFonts w:ascii="Times New Roman" w:hAnsi="Times New Roman"/>
          <w:lang w:val="es-ES"/>
        </w:rPr>
        <w:t>S. </w:t>
      </w:r>
      <w:r w:rsidRPr="00372388">
        <w:rPr>
          <w:rFonts w:ascii="Times New Roman" w:hAnsi="Times New Roman"/>
          <w:lang w:val="es-ES"/>
        </w:rPr>
        <w:t xml:space="preserve">61 (62); </w:t>
      </w:r>
      <w:r w:rsidRPr="00C7495C">
        <w:rPr>
          <w:rFonts w:ascii="Times New Roman" w:hAnsi="Times New Roman"/>
          <w:lang w:val="es-ES"/>
        </w:rPr>
        <w:t xml:space="preserve">kritisch: </w:t>
      </w:r>
      <w:r w:rsidRPr="00C7495C">
        <w:rPr>
          <w:rFonts w:ascii="Times New Roman" w:hAnsi="Times New Roman"/>
          <w:i/>
          <w:lang w:val="es-ES"/>
        </w:rPr>
        <w:t>A</w:t>
      </w:r>
      <w:r>
        <w:rPr>
          <w:rFonts w:ascii="Times New Roman" w:hAnsi="Times New Roman"/>
          <w:i/>
          <w:lang w:val="es-ES"/>
        </w:rPr>
        <w:t>.</w:t>
      </w:r>
      <w:r w:rsidRPr="00C7495C">
        <w:rPr>
          <w:rFonts w:ascii="Times New Roman" w:hAnsi="Times New Roman"/>
          <w:i/>
          <w:lang w:val="es-ES"/>
        </w:rPr>
        <w:t xml:space="preserve"> Thiele</w:t>
      </w:r>
      <w:r w:rsidRPr="00C7495C">
        <w:rPr>
          <w:rFonts w:ascii="Times New Roman" w:hAnsi="Times New Roman"/>
          <w:lang w:val="es-ES"/>
        </w:rPr>
        <w:t>, Das Rechtsschutzsystem nach dem Vertrag von Lissabon – (K)ein Schritt nach vorn?,</w:t>
      </w:r>
      <w:r>
        <w:rPr>
          <w:rFonts w:ascii="Times New Roman" w:hAnsi="Times New Roman"/>
          <w:lang w:val="es-ES"/>
        </w:rPr>
        <w:t xml:space="preserve"> </w:t>
      </w:r>
      <w:r w:rsidRPr="00372388">
        <w:rPr>
          <w:rFonts w:ascii="Times New Roman" w:hAnsi="Times New Roman"/>
          <w:lang w:val="es-ES"/>
        </w:rPr>
        <w:t xml:space="preserve">EuR 2010, </w:t>
      </w:r>
      <w:r>
        <w:rPr>
          <w:rFonts w:ascii="Times New Roman" w:hAnsi="Times New Roman"/>
          <w:lang w:val="es-ES"/>
        </w:rPr>
        <w:t>S. </w:t>
      </w:r>
      <w:r w:rsidRPr="00372388">
        <w:rPr>
          <w:rFonts w:ascii="Times New Roman" w:hAnsi="Times New Roman"/>
          <w:lang w:val="es-ES"/>
        </w:rPr>
        <w:t>30 (42</w:t>
      </w:r>
      <w:r>
        <w:rPr>
          <w:rFonts w:ascii="Times New Roman" w:hAnsi="Times New Roman"/>
          <w:lang w:val="es-ES"/>
        </w:rPr>
        <w:t> </w:t>
      </w:r>
      <w:r w:rsidRPr="00372388">
        <w:rPr>
          <w:rFonts w:ascii="Times New Roman" w:hAnsi="Times New Roman"/>
          <w:lang w:val="es-ES"/>
        </w:rPr>
        <w:t>f.).</w:t>
      </w:r>
    </w:p>
  </w:footnote>
  <w:footnote w:id="55">
    <w:p w:rsidR="000640CE" w:rsidRPr="00372388" w:rsidRDefault="000640CE" w:rsidP="00940178">
      <w:pPr>
        <w:pStyle w:val="Funotentext"/>
        <w:rPr>
          <w:rFonts w:ascii="Times New Roman" w:hAnsi="Times New Roman"/>
          <w:lang w:val="es-ES"/>
        </w:rPr>
      </w:pPr>
      <w:r w:rsidRPr="00372388">
        <w:rPr>
          <w:rStyle w:val="Funotenzeichen"/>
          <w:rFonts w:ascii="Times New Roman" w:hAnsi="Times New Roman" w:cs="Times New Roman"/>
        </w:rPr>
        <w:footnoteRef/>
      </w:r>
      <w:r w:rsidRPr="00372388">
        <w:rPr>
          <w:rFonts w:ascii="Times New Roman" w:hAnsi="Times New Roman"/>
          <w:lang w:val="es-ES"/>
        </w:rPr>
        <w:t> </w:t>
      </w:r>
      <w:r w:rsidRPr="00372388">
        <w:rPr>
          <w:rFonts w:ascii="Times New Roman" w:hAnsi="Times New Roman"/>
          <w:i/>
          <w:lang w:val="es-ES"/>
        </w:rPr>
        <w:t>Huber</w:t>
      </w:r>
      <w:r w:rsidRPr="00372388">
        <w:rPr>
          <w:rFonts w:ascii="Times New Roman" w:hAnsi="Times New Roman"/>
          <w:lang w:val="es-ES"/>
        </w:rPr>
        <w:t xml:space="preserve"> (Fn. 35)</w:t>
      </w:r>
      <w:r>
        <w:rPr>
          <w:rFonts w:ascii="Times New Roman" w:hAnsi="Times New Roman"/>
          <w:lang w:val="es-ES"/>
        </w:rPr>
        <w:t>, S. </w:t>
      </w:r>
      <w:r w:rsidRPr="00372388">
        <w:rPr>
          <w:rFonts w:ascii="Times New Roman" w:hAnsi="Times New Roman"/>
          <w:lang w:val="es-ES"/>
        </w:rPr>
        <w:t xml:space="preserve">194 (231); </w:t>
      </w:r>
      <w:r>
        <w:rPr>
          <w:rFonts w:ascii="Times New Roman" w:hAnsi="Times New Roman"/>
          <w:i/>
          <w:lang w:val="es-ES"/>
        </w:rPr>
        <w:t>A.</w:t>
      </w:r>
      <w:r w:rsidRPr="00372388">
        <w:rPr>
          <w:rFonts w:ascii="Times New Roman" w:hAnsi="Times New Roman"/>
          <w:i/>
          <w:lang w:val="es-ES"/>
        </w:rPr>
        <w:t xml:space="preserve"> Hatje/</w:t>
      </w:r>
      <w:r>
        <w:rPr>
          <w:rFonts w:ascii="Times New Roman" w:hAnsi="Times New Roman"/>
          <w:i/>
          <w:lang w:val="es-ES"/>
        </w:rPr>
        <w:t xml:space="preserve">A. </w:t>
      </w:r>
      <w:r w:rsidRPr="00372388">
        <w:rPr>
          <w:rFonts w:ascii="Times New Roman" w:hAnsi="Times New Roman"/>
          <w:i/>
          <w:lang w:val="es-ES"/>
        </w:rPr>
        <w:t>Kindt</w:t>
      </w:r>
      <w:r w:rsidRPr="00372388">
        <w:rPr>
          <w:rFonts w:ascii="Times New Roman" w:hAnsi="Times New Roman"/>
          <w:lang w:val="es-ES"/>
        </w:rPr>
        <w:t xml:space="preserve">, </w:t>
      </w:r>
      <w:r w:rsidRPr="00C7495C">
        <w:rPr>
          <w:rFonts w:ascii="Times New Roman" w:hAnsi="Times New Roman"/>
          <w:lang w:val="es-ES"/>
        </w:rPr>
        <w:t>Der Vertrag von Lissabon – Europa endlich in guter Verfassung?</w:t>
      </w:r>
      <w:r>
        <w:rPr>
          <w:rFonts w:ascii="Times New Roman" w:hAnsi="Times New Roman"/>
          <w:lang w:val="es-ES"/>
        </w:rPr>
        <w:t xml:space="preserve">, </w:t>
      </w:r>
      <w:r w:rsidRPr="00372388">
        <w:rPr>
          <w:rFonts w:ascii="Times New Roman" w:hAnsi="Times New Roman"/>
          <w:lang w:val="es-ES"/>
        </w:rPr>
        <w:t xml:space="preserve">NJW 2008, 1761 (1767); </w:t>
      </w:r>
      <w:r>
        <w:rPr>
          <w:rFonts w:ascii="Times New Roman" w:hAnsi="Times New Roman"/>
          <w:i/>
          <w:lang w:val="es-ES"/>
        </w:rPr>
        <w:t xml:space="preserve">J. P. </w:t>
      </w:r>
      <w:r w:rsidRPr="00372388">
        <w:rPr>
          <w:rFonts w:ascii="Times New Roman" w:hAnsi="Times New Roman"/>
          <w:i/>
        </w:rPr>
        <w:t>Terhechte</w:t>
      </w:r>
      <w:r w:rsidRPr="00372388">
        <w:rPr>
          <w:rFonts w:ascii="Times New Roman" w:hAnsi="Times New Roman"/>
        </w:rPr>
        <w:t xml:space="preserve">, </w:t>
      </w:r>
      <w:r w:rsidRPr="00B63A14">
        <w:rPr>
          <w:rFonts w:ascii="Times New Roman" w:hAnsi="Times New Roman"/>
        </w:rPr>
        <w:t>Der Vertrag von Lissabon: Grundlegende Verfassung</w:t>
      </w:r>
      <w:r w:rsidRPr="00B63A14">
        <w:rPr>
          <w:rFonts w:ascii="Times New Roman" w:hAnsi="Times New Roman"/>
        </w:rPr>
        <w:t>s</w:t>
      </w:r>
      <w:r w:rsidRPr="00B63A14">
        <w:rPr>
          <w:rFonts w:ascii="Times New Roman" w:hAnsi="Times New Roman"/>
        </w:rPr>
        <w:t>urkunde der europäischen Rechtsgemeinschaft oder technischer Änderungsvertrag?</w:t>
      </w:r>
      <w:r>
        <w:rPr>
          <w:rFonts w:ascii="Times New Roman" w:hAnsi="Times New Roman"/>
        </w:rPr>
        <w:t xml:space="preserve">, </w:t>
      </w:r>
      <w:r w:rsidRPr="00372388">
        <w:rPr>
          <w:rFonts w:ascii="Times New Roman" w:hAnsi="Times New Roman"/>
        </w:rPr>
        <w:t xml:space="preserve">EuR 2008, </w:t>
      </w:r>
      <w:r>
        <w:rPr>
          <w:rFonts w:ascii="Times New Roman" w:hAnsi="Times New Roman"/>
        </w:rPr>
        <w:t>S. </w:t>
      </w:r>
      <w:r w:rsidRPr="00372388">
        <w:rPr>
          <w:rFonts w:ascii="Times New Roman" w:hAnsi="Times New Roman"/>
        </w:rPr>
        <w:t xml:space="preserve">143 (159); </w:t>
      </w:r>
      <w:r>
        <w:rPr>
          <w:rFonts w:ascii="Times New Roman" w:hAnsi="Times New Roman"/>
          <w:i/>
        </w:rPr>
        <w:t>M. </w:t>
      </w:r>
      <w:r w:rsidRPr="00372388">
        <w:rPr>
          <w:rFonts w:ascii="Times New Roman" w:hAnsi="Times New Roman"/>
          <w:i/>
        </w:rPr>
        <w:t>Kotzur</w:t>
      </w:r>
      <w:r w:rsidRPr="00372388">
        <w:rPr>
          <w:rFonts w:ascii="Times New Roman" w:hAnsi="Times New Roman"/>
        </w:rPr>
        <w:t xml:space="preserve">, </w:t>
      </w:r>
      <w:r w:rsidRPr="00B63A14">
        <w:rPr>
          <w:rFonts w:ascii="Times New Roman" w:hAnsi="Times New Roman"/>
        </w:rPr>
        <w:t>Neuerungen auf dem Gebiet des Rechtsschutzes durch den Vertrag von Lissabon</w:t>
      </w:r>
      <w:r>
        <w:rPr>
          <w:rFonts w:ascii="Times New Roman" w:hAnsi="Times New Roman"/>
        </w:rPr>
        <w:t xml:space="preserve">, </w:t>
      </w:r>
      <w:r w:rsidRPr="00372388">
        <w:rPr>
          <w:rFonts w:ascii="Times New Roman" w:hAnsi="Times New Roman"/>
        </w:rPr>
        <w:t xml:space="preserve">EuR-Beiheft 1/2012, </w:t>
      </w:r>
      <w:r>
        <w:rPr>
          <w:rFonts w:ascii="Times New Roman" w:hAnsi="Times New Roman"/>
        </w:rPr>
        <w:t>S. </w:t>
      </w:r>
      <w:r w:rsidRPr="00372388">
        <w:rPr>
          <w:rFonts w:ascii="Times New Roman" w:hAnsi="Times New Roman"/>
        </w:rPr>
        <w:t>7 (20): „Verbundstruktur“.</w:t>
      </w:r>
    </w:p>
  </w:footnote>
  <w:footnote w:id="56">
    <w:p w:rsidR="000640CE" w:rsidRPr="00372388" w:rsidRDefault="000640CE" w:rsidP="00940178">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w:t>
      </w:r>
      <w:r w:rsidRPr="00372388">
        <w:rPr>
          <w:rFonts w:ascii="Times New Roman" w:hAnsi="Times New Roman"/>
          <w:i/>
        </w:rPr>
        <w:t>D.</w:t>
      </w:r>
      <w:r>
        <w:rPr>
          <w:rFonts w:ascii="Times New Roman" w:hAnsi="Times New Roman"/>
          <w:i/>
        </w:rPr>
        <w:t xml:space="preserve"> </w:t>
      </w:r>
      <w:r w:rsidRPr="00372388">
        <w:rPr>
          <w:rFonts w:ascii="Times New Roman" w:hAnsi="Times New Roman"/>
          <w:i/>
        </w:rPr>
        <w:t>Dörr</w:t>
      </w:r>
      <w:r w:rsidRPr="00372388">
        <w:rPr>
          <w:rFonts w:ascii="Times New Roman" w:hAnsi="Times New Roman"/>
        </w:rPr>
        <w:t xml:space="preserve">, Der europäisierte Rechtsprechungsauftrag deutscher Gerichte, passim. – EuGH, Gutachten 1/09 vom 8.3.2011, </w:t>
      </w:r>
      <w:proofErr w:type="gramStart"/>
      <w:r w:rsidRPr="00372388">
        <w:rPr>
          <w:rFonts w:ascii="Times New Roman" w:hAnsi="Times New Roman"/>
        </w:rPr>
        <w:t>n.n.v.,</w:t>
      </w:r>
      <w:proofErr w:type="gramEnd"/>
      <w:r w:rsidRPr="00372388">
        <w:rPr>
          <w:rFonts w:ascii="Times New Roman" w:hAnsi="Times New Roman"/>
        </w:rPr>
        <w:t xml:space="preserve"> Rn. 80</w:t>
      </w:r>
      <w:r>
        <w:rPr>
          <w:rFonts w:ascii="Times New Roman" w:hAnsi="Times New Roman"/>
        </w:rPr>
        <w:t>,</w:t>
      </w:r>
      <w:r w:rsidRPr="00372388">
        <w:rPr>
          <w:rFonts w:ascii="Times New Roman" w:hAnsi="Times New Roman"/>
        </w:rPr>
        <w:t xml:space="preserve"> spricht gar von „ordentlichen Unionsgerichten“.</w:t>
      </w:r>
    </w:p>
  </w:footnote>
  <w:footnote w:id="57">
    <w:p w:rsidR="000640CE" w:rsidRPr="00372388" w:rsidRDefault="000640CE" w:rsidP="00940178">
      <w:pPr>
        <w:pStyle w:val="Funotentext"/>
        <w:rPr>
          <w:rFonts w:ascii="Times New Roman" w:hAnsi="Times New Roman"/>
          <w:lang w:val="fr-FR"/>
        </w:rPr>
      </w:pPr>
      <w:r w:rsidRPr="00372388">
        <w:rPr>
          <w:rStyle w:val="Funotenzeichen"/>
          <w:rFonts w:ascii="Times New Roman" w:hAnsi="Times New Roman" w:cs="Times New Roman"/>
        </w:rPr>
        <w:footnoteRef/>
      </w:r>
      <w:r w:rsidRPr="00372388">
        <w:rPr>
          <w:rFonts w:ascii="Times New Roman" w:hAnsi="Times New Roman"/>
          <w:lang w:val="fr-FR"/>
        </w:rPr>
        <w:t> </w:t>
      </w:r>
      <w:r w:rsidRPr="001D75DC">
        <w:rPr>
          <w:rFonts w:ascii="Times New Roman" w:hAnsi="Times New Roman"/>
          <w:i/>
          <w:lang w:val="fr-FR"/>
        </w:rPr>
        <w:t>R.</w:t>
      </w:r>
      <w:r>
        <w:rPr>
          <w:rFonts w:ascii="Times New Roman" w:hAnsi="Times New Roman"/>
          <w:lang w:val="fr-FR"/>
        </w:rPr>
        <w:t xml:space="preserve"> </w:t>
      </w:r>
      <w:r w:rsidRPr="00372388">
        <w:rPr>
          <w:rFonts w:ascii="Times New Roman" w:hAnsi="Times New Roman"/>
          <w:i/>
          <w:lang w:val="fr-FR"/>
        </w:rPr>
        <w:t xml:space="preserve">Lecour, </w:t>
      </w:r>
      <w:r w:rsidRPr="00372388">
        <w:rPr>
          <w:rFonts w:ascii="Times New Roman" w:hAnsi="Times New Roman"/>
          <w:lang w:val="fr-FR"/>
        </w:rPr>
        <w:t xml:space="preserve">Le juge devant le marché commun, </w:t>
      </w:r>
      <w:r>
        <w:rPr>
          <w:rFonts w:ascii="Times New Roman" w:hAnsi="Times New Roman"/>
          <w:lang w:val="fr-FR"/>
        </w:rPr>
        <w:t xml:space="preserve">Genf </w:t>
      </w:r>
      <w:r w:rsidRPr="00372388">
        <w:rPr>
          <w:rFonts w:ascii="Times New Roman" w:hAnsi="Times New Roman"/>
          <w:lang w:val="fr-FR"/>
        </w:rPr>
        <w:t>1970, S.</w:t>
      </w:r>
      <w:r>
        <w:rPr>
          <w:rFonts w:ascii="Times New Roman" w:hAnsi="Times New Roman"/>
          <w:lang w:val="fr-FR"/>
        </w:rPr>
        <w:t> </w:t>
      </w:r>
      <w:r w:rsidRPr="00372388">
        <w:rPr>
          <w:rFonts w:ascii="Times New Roman" w:hAnsi="Times New Roman"/>
          <w:lang w:val="fr-FR"/>
        </w:rPr>
        <w:t>70.</w:t>
      </w:r>
    </w:p>
  </w:footnote>
  <w:footnote w:id="58">
    <w:p w:rsidR="000640CE" w:rsidRPr="00372388" w:rsidRDefault="000640CE" w:rsidP="00940178">
      <w:pPr>
        <w:pStyle w:val="Funotentext"/>
        <w:rPr>
          <w:rFonts w:ascii="Times New Roman" w:hAnsi="Times New Roman"/>
          <w:lang w:val="fr-FR"/>
        </w:rPr>
      </w:pPr>
      <w:r w:rsidRPr="00B63A14">
        <w:rPr>
          <w:rStyle w:val="Funotenzeichen"/>
          <w:rFonts w:ascii="Times New Roman" w:hAnsi="Times New Roman" w:cs="Times New Roman"/>
        </w:rPr>
        <w:footnoteRef/>
      </w:r>
      <w:r w:rsidRPr="00B63A14">
        <w:rPr>
          <w:rFonts w:ascii="Times New Roman" w:hAnsi="Times New Roman"/>
          <w:lang w:val="fr-FR"/>
        </w:rPr>
        <w:t> </w:t>
      </w:r>
      <w:r w:rsidRPr="00B63A14">
        <w:rPr>
          <w:rFonts w:ascii="Times New Roman" w:hAnsi="Times New Roman"/>
          <w:i/>
          <w:lang w:val="fr-FR"/>
        </w:rPr>
        <w:t>P. M. Huber</w:t>
      </w:r>
      <w:r w:rsidRPr="00B63A14">
        <w:rPr>
          <w:rFonts w:ascii="Times New Roman" w:hAnsi="Times New Roman"/>
          <w:lang w:val="fr-FR"/>
        </w:rPr>
        <w:t xml:space="preserve"> (Fn. 35), S. 194 (231); </w:t>
      </w:r>
      <w:r w:rsidRPr="00B63A14">
        <w:rPr>
          <w:rFonts w:ascii="Times New Roman" w:hAnsi="Times New Roman"/>
          <w:i/>
          <w:lang w:val="fr-FR"/>
        </w:rPr>
        <w:t>F. Mayer</w:t>
      </w:r>
      <w:r w:rsidRPr="00B63A14">
        <w:rPr>
          <w:rFonts w:ascii="Times New Roman" w:hAnsi="Times New Roman"/>
          <w:lang w:val="fr-FR"/>
        </w:rPr>
        <w:t>, Verfassungsgerichtsbarkeit, in: von Bogdandy/Bast (Hrsg.), Europäisches Verfassungsrecht, 2009, S. 559 ff.</w:t>
      </w:r>
    </w:p>
  </w:footnote>
  <w:footnote w:id="59">
    <w:p w:rsidR="000640CE" w:rsidRPr="00372388" w:rsidRDefault="000640CE" w:rsidP="00940178">
      <w:pPr>
        <w:pStyle w:val="Funotentext"/>
        <w:rPr>
          <w:rFonts w:ascii="Times New Roman" w:hAnsi="Times New Roman"/>
          <w:lang w:val="fr-FR"/>
        </w:rPr>
      </w:pPr>
      <w:r w:rsidRPr="00372388">
        <w:rPr>
          <w:rStyle w:val="Funotenzeichen"/>
          <w:rFonts w:ascii="Times New Roman" w:hAnsi="Times New Roman" w:cs="Times New Roman"/>
        </w:rPr>
        <w:footnoteRef/>
      </w:r>
      <w:r w:rsidRPr="00372388">
        <w:rPr>
          <w:rFonts w:ascii="Times New Roman" w:hAnsi="Times New Roman"/>
          <w:lang w:val="fr-FR"/>
        </w:rPr>
        <w:t xml:space="preserve"> EuGH, Urteil vom 18. Oktober 1990, verb. Rs. C-297/88 und C-197/89, Slg. 1990, I-3763 Rn. 33 – Dzodzi; Urteil vom 8. November 1990, Rs. C-231/89, Slg 1990, I-4003 Rn. 18 – </w:t>
      </w:r>
      <w:r w:rsidRPr="001D75DC">
        <w:rPr>
          <w:rFonts w:ascii="Times New Roman" w:hAnsi="Times New Roman"/>
          <w:i/>
          <w:lang w:val="fr-FR"/>
        </w:rPr>
        <w:t>Gmurzynska-Bscher</w:t>
      </w:r>
      <w:r w:rsidRPr="00372388">
        <w:rPr>
          <w:rFonts w:ascii="Times New Roman" w:hAnsi="Times New Roman"/>
          <w:lang w:val="fr-FR"/>
        </w:rPr>
        <w:t xml:space="preserve">; Urteil vom 12. März 1998, Rs. C-314/96, Slg. 1998, I-1149 Rn. 17 – </w:t>
      </w:r>
      <w:r w:rsidRPr="001D75DC">
        <w:rPr>
          <w:rFonts w:ascii="Times New Roman" w:hAnsi="Times New Roman"/>
          <w:i/>
          <w:lang w:val="fr-FR"/>
        </w:rPr>
        <w:t>Djabali</w:t>
      </w:r>
      <w:r w:rsidRPr="00372388">
        <w:rPr>
          <w:rFonts w:ascii="Times New Roman" w:hAnsi="Times New Roman"/>
          <w:lang w:val="fr-FR"/>
        </w:rPr>
        <w:t xml:space="preserve">; Urteil vom 1. März 2005, C-281/02, Slg. 2005, I-1383 Rn. 49 – </w:t>
      </w:r>
      <w:r w:rsidRPr="001D75DC">
        <w:rPr>
          <w:rFonts w:ascii="Times New Roman" w:hAnsi="Times New Roman"/>
          <w:i/>
          <w:lang w:val="fr-FR"/>
        </w:rPr>
        <w:t>Owusu</w:t>
      </w:r>
      <w:r w:rsidRPr="00372388">
        <w:rPr>
          <w:rFonts w:ascii="Times New Roman" w:hAnsi="Times New Roman"/>
          <w:lang w:val="fr-FR"/>
        </w:rPr>
        <w:t>.</w:t>
      </w:r>
    </w:p>
  </w:footnote>
  <w:footnote w:id="60">
    <w:p w:rsidR="000640CE" w:rsidRPr="00372388" w:rsidRDefault="000640CE" w:rsidP="00940178">
      <w:pPr>
        <w:pStyle w:val="Funotentext"/>
        <w:rPr>
          <w:rFonts w:ascii="Times New Roman" w:hAnsi="Times New Roman"/>
          <w:lang w:val="it-IT"/>
        </w:rPr>
      </w:pPr>
      <w:r w:rsidRPr="00372388">
        <w:rPr>
          <w:rStyle w:val="Funotenzeichen"/>
          <w:rFonts w:ascii="Times New Roman" w:hAnsi="Times New Roman" w:cs="Times New Roman"/>
        </w:rPr>
        <w:footnoteRef/>
      </w:r>
      <w:r w:rsidRPr="00372388">
        <w:rPr>
          <w:rFonts w:ascii="Times New Roman" w:hAnsi="Times New Roman"/>
          <w:lang w:val="fr-FR"/>
        </w:rPr>
        <w:t> EuGH, Urteil vom 16. Dezember 1981, Rs. 244/80, Slg. 1981, 3045 Rn</w:t>
      </w:r>
      <w:r w:rsidRPr="00372388">
        <w:rPr>
          <w:rFonts w:ascii="Times New Roman" w:hAnsi="Times New Roman"/>
          <w:lang w:val="it-IT"/>
        </w:rPr>
        <w:t xml:space="preserve">. 14 ff. – </w:t>
      </w:r>
      <w:r w:rsidRPr="001D75DC">
        <w:rPr>
          <w:rFonts w:ascii="Times New Roman" w:hAnsi="Times New Roman"/>
          <w:i/>
          <w:lang w:val="fr-FR"/>
        </w:rPr>
        <w:t>Foglia/Novello</w:t>
      </w:r>
      <w:r w:rsidRPr="00372388">
        <w:rPr>
          <w:rFonts w:ascii="Times New Roman" w:hAnsi="Times New Roman"/>
          <w:lang w:val="fr-FR"/>
        </w:rPr>
        <w:t xml:space="preserve"> </w:t>
      </w:r>
      <w:r w:rsidRPr="00372388">
        <w:rPr>
          <w:rFonts w:ascii="Times New Roman" w:hAnsi="Times New Roman"/>
          <w:lang w:val="it-IT"/>
        </w:rPr>
        <w:t>– Herv</w:t>
      </w:r>
      <w:r w:rsidRPr="00372388">
        <w:rPr>
          <w:rFonts w:ascii="Times New Roman" w:hAnsi="Times New Roman"/>
          <w:lang w:val="it-IT"/>
        </w:rPr>
        <w:t>o</w:t>
      </w:r>
      <w:r w:rsidRPr="00372388">
        <w:rPr>
          <w:rFonts w:ascii="Times New Roman" w:hAnsi="Times New Roman"/>
          <w:lang w:val="it-IT"/>
        </w:rPr>
        <w:t>rhebung durch den Verf.</w:t>
      </w:r>
    </w:p>
  </w:footnote>
  <w:footnote w:id="61">
    <w:p w:rsidR="000640CE" w:rsidRPr="00372388" w:rsidRDefault="000640CE" w:rsidP="00940178">
      <w:pPr>
        <w:pStyle w:val="Funotentext"/>
        <w:rPr>
          <w:rFonts w:ascii="Times New Roman" w:hAnsi="Times New Roman"/>
          <w:highlight w:val="yellow"/>
          <w:lang w:val="it-IT"/>
        </w:rPr>
      </w:pPr>
      <w:r w:rsidRPr="00372388">
        <w:rPr>
          <w:rStyle w:val="Funotenzeichen"/>
          <w:rFonts w:ascii="Times New Roman" w:hAnsi="Times New Roman" w:cs="Times New Roman"/>
        </w:rPr>
        <w:footnoteRef/>
      </w:r>
      <w:r w:rsidRPr="00372388">
        <w:rPr>
          <w:rFonts w:ascii="Times New Roman" w:hAnsi="Times New Roman"/>
          <w:lang w:val="it-IT"/>
        </w:rPr>
        <w:t xml:space="preserve">  BVerfGE 125, 260 (308); </w:t>
      </w:r>
      <w:hyperlink r:id="rId10" w:anchor="focuspoint" w:history="1">
        <w:r w:rsidRPr="00372388">
          <w:rPr>
            <w:rStyle w:val="Hyperlink"/>
            <w:rFonts w:ascii="Times New Roman" w:hAnsi="Times New Roman"/>
            <w:color w:val="auto"/>
            <w:u w:val="none"/>
          </w:rPr>
          <w:t>126, 286</w:t>
        </w:r>
      </w:hyperlink>
      <w:r w:rsidRPr="00372388">
        <w:rPr>
          <w:rFonts w:ascii="Times New Roman" w:hAnsi="Times New Roman"/>
        </w:rPr>
        <w:t xml:space="preserve">  (303 f.) </w:t>
      </w:r>
      <w:r>
        <w:rPr>
          <w:rFonts w:ascii="Times New Roman" w:hAnsi="Times New Roman"/>
        </w:rPr>
        <w:t>–</w:t>
      </w:r>
      <w:r w:rsidRPr="00372388">
        <w:rPr>
          <w:rFonts w:ascii="Times New Roman" w:hAnsi="Times New Roman"/>
        </w:rPr>
        <w:t xml:space="preserve"> </w:t>
      </w:r>
      <w:r w:rsidRPr="001D75DC">
        <w:rPr>
          <w:rFonts w:ascii="Times New Roman" w:hAnsi="Times New Roman"/>
          <w:i/>
        </w:rPr>
        <w:t>Honeywell</w:t>
      </w:r>
      <w:r w:rsidRPr="00372388">
        <w:rPr>
          <w:rFonts w:ascii="Times New Roman" w:hAnsi="Times New Roman"/>
        </w:rPr>
        <w:t xml:space="preserve">; </w:t>
      </w:r>
      <w:hyperlink r:id="rId11" w:anchor="focuspoint" w:history="1">
        <w:r w:rsidRPr="00372388">
          <w:rPr>
            <w:rStyle w:val="Hyperlink"/>
            <w:rFonts w:ascii="Times New Roman" w:hAnsi="Times New Roman"/>
            <w:color w:val="auto"/>
            <w:u w:val="none"/>
          </w:rPr>
          <w:t>134, 366</w:t>
        </w:r>
      </w:hyperlink>
      <w:r w:rsidRPr="00372388">
        <w:rPr>
          <w:rFonts w:ascii="Times New Roman" w:hAnsi="Times New Roman"/>
          <w:lang w:val="it-IT"/>
        </w:rPr>
        <w:t xml:space="preserve"> (</w:t>
      </w:r>
      <w:r w:rsidRPr="00372388">
        <w:rPr>
          <w:rFonts w:ascii="Times New Roman" w:hAnsi="Times New Roman"/>
        </w:rPr>
        <w:t xml:space="preserve">383 Rn. 24, 27) – </w:t>
      </w:r>
      <w:r w:rsidRPr="001D75DC">
        <w:rPr>
          <w:rFonts w:ascii="Times New Roman" w:hAnsi="Times New Roman"/>
          <w:i/>
        </w:rPr>
        <w:t>OMT-Vorlage</w:t>
      </w:r>
      <w:r w:rsidRPr="00372388">
        <w:rPr>
          <w:rFonts w:ascii="Times New Roman" w:hAnsi="Times New Roman"/>
        </w:rPr>
        <w:t xml:space="preserve">; 140, 317 </w:t>
      </w:r>
      <w:r w:rsidRPr="000E0D6A">
        <w:rPr>
          <w:rFonts w:ascii="Times New Roman" w:hAnsi="Times New Roman"/>
        </w:rPr>
        <w:t xml:space="preserve">(339 Rn. 46) – </w:t>
      </w:r>
      <w:r w:rsidRPr="000E0D6A">
        <w:rPr>
          <w:rFonts w:ascii="Times New Roman" w:hAnsi="Times New Roman"/>
          <w:i/>
        </w:rPr>
        <w:t>Identitätskontrolle I</w:t>
      </w:r>
      <w:r w:rsidRPr="000E0D6A">
        <w:rPr>
          <w:rFonts w:ascii="Times New Roman" w:hAnsi="Times New Roman"/>
        </w:rPr>
        <w:t xml:space="preserve">; BVerfGE 142, 123 (204 Rn. 156); </w:t>
      </w:r>
      <w:r w:rsidRPr="000E0D6A">
        <w:rPr>
          <w:rFonts w:ascii="Times New Roman" w:hAnsi="Times New Roman"/>
          <w:i/>
        </w:rPr>
        <w:t>M</w:t>
      </w:r>
      <w:r>
        <w:rPr>
          <w:rFonts w:ascii="Times New Roman" w:hAnsi="Times New Roman"/>
          <w:i/>
        </w:rPr>
        <w:t>.</w:t>
      </w:r>
      <w:r w:rsidRPr="000E0D6A">
        <w:rPr>
          <w:rFonts w:ascii="Times New Roman" w:hAnsi="Times New Roman"/>
        </w:rPr>
        <w:t> </w:t>
      </w:r>
      <w:r w:rsidRPr="000E0D6A">
        <w:rPr>
          <w:rFonts w:ascii="Times New Roman" w:hAnsi="Times New Roman"/>
          <w:i/>
          <w:lang w:val="it-IT"/>
        </w:rPr>
        <w:t>Knauff</w:t>
      </w:r>
      <w:r w:rsidRPr="000E0D6A">
        <w:rPr>
          <w:rFonts w:ascii="Times New Roman" w:hAnsi="Times New Roman"/>
          <w:lang w:val="it-IT"/>
        </w:rPr>
        <w:t>,</w:t>
      </w:r>
      <w:r w:rsidRPr="000E0D6A">
        <w:t xml:space="preserve"> </w:t>
      </w:r>
      <w:r w:rsidRPr="000E0D6A">
        <w:rPr>
          <w:rFonts w:ascii="Times New Roman" w:hAnsi="Times New Roman"/>
          <w:lang w:val="it-IT"/>
        </w:rPr>
        <w:t>Das Verhältnis zwischen Bundesverfassungsgericht, Europäischem Gerichtshof und Europäischem Gerichtshof für Menschenrechte</w:t>
      </w:r>
      <w:r>
        <w:rPr>
          <w:rFonts w:ascii="Times New Roman" w:hAnsi="Times New Roman"/>
          <w:lang w:val="it-IT"/>
        </w:rPr>
        <w:t xml:space="preserve">, </w:t>
      </w:r>
      <w:r w:rsidRPr="00372388">
        <w:rPr>
          <w:rFonts w:ascii="Times New Roman" w:hAnsi="Times New Roman"/>
          <w:lang w:val="it-IT"/>
        </w:rPr>
        <w:t xml:space="preserve">DVBl. 2010, </w:t>
      </w:r>
      <w:r>
        <w:rPr>
          <w:rFonts w:ascii="Times New Roman" w:hAnsi="Times New Roman"/>
          <w:lang w:val="it-IT"/>
        </w:rPr>
        <w:t>S. </w:t>
      </w:r>
      <w:r w:rsidRPr="00372388">
        <w:rPr>
          <w:rFonts w:ascii="Times New Roman" w:hAnsi="Times New Roman"/>
          <w:lang w:val="it-IT"/>
        </w:rPr>
        <w:t>533 (535</w:t>
      </w:r>
      <w:r>
        <w:rPr>
          <w:rFonts w:ascii="Times New Roman" w:hAnsi="Times New Roman"/>
          <w:lang w:val="it-IT"/>
        </w:rPr>
        <w:t> </w:t>
      </w:r>
      <w:r w:rsidRPr="00372388">
        <w:rPr>
          <w:rFonts w:ascii="Times New Roman" w:hAnsi="Times New Roman"/>
          <w:lang w:val="it-IT"/>
        </w:rPr>
        <w:t xml:space="preserve">f.); zur unterschiedlich ausgeprägten Kooperationsbereitschaft der mitgliedstaatlichen Verfassungsgerichte, vgl. </w:t>
      </w:r>
      <w:r w:rsidRPr="00372388">
        <w:rPr>
          <w:rFonts w:ascii="Times New Roman" w:hAnsi="Times New Roman"/>
          <w:i/>
        </w:rPr>
        <w:t>P. M. Huber</w:t>
      </w:r>
      <w:r w:rsidRPr="00372388">
        <w:rPr>
          <w:rFonts w:ascii="Times New Roman" w:hAnsi="Times New Roman"/>
        </w:rPr>
        <w:t>, in: Merten/Papier (Hrsg.), HGR VI/2, 2009, § 172 Rn. 88 m</w:t>
      </w:r>
      <w:r>
        <w:rPr>
          <w:rFonts w:ascii="Times New Roman" w:hAnsi="Times New Roman"/>
        </w:rPr>
        <w:t>.</w:t>
      </w:r>
      <w:r w:rsidRPr="00372388">
        <w:rPr>
          <w:rFonts w:ascii="Times New Roman" w:hAnsi="Times New Roman"/>
        </w:rPr>
        <w:t>w</w:t>
      </w:r>
      <w:r>
        <w:rPr>
          <w:rFonts w:ascii="Times New Roman" w:hAnsi="Times New Roman"/>
        </w:rPr>
        <w:t>.</w:t>
      </w:r>
      <w:r w:rsidRPr="00372388">
        <w:rPr>
          <w:rFonts w:ascii="Times New Roman" w:hAnsi="Times New Roman"/>
        </w:rPr>
        <w:t>N.</w:t>
      </w:r>
    </w:p>
  </w:footnote>
  <w:footnote w:id="62">
    <w:p w:rsidR="000640CE" w:rsidRPr="00372388" w:rsidRDefault="000640CE" w:rsidP="00CB26D1">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Vgl. </w:t>
      </w:r>
      <w:r w:rsidRPr="00372388">
        <w:rPr>
          <w:rFonts w:ascii="Times New Roman" w:hAnsi="Times New Roman"/>
          <w:i/>
        </w:rPr>
        <w:t>A. Betz</w:t>
      </w:r>
      <w:r w:rsidRPr="00372388">
        <w:rPr>
          <w:rFonts w:ascii="Times New Roman" w:hAnsi="Times New Roman"/>
        </w:rPr>
        <w:t>, Die verfassungsrechtliche Absicherung der Vorlagepflicht, 2013.</w:t>
      </w:r>
    </w:p>
  </w:footnote>
  <w:footnote w:id="63">
    <w:p w:rsidR="000640CE" w:rsidRPr="00372388" w:rsidRDefault="000640CE" w:rsidP="00CB26D1">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Zuletzt BVerfGE 135, 155 (230</w:t>
      </w:r>
      <w:r>
        <w:rPr>
          <w:rFonts w:ascii="Times New Roman" w:hAnsi="Times New Roman"/>
        </w:rPr>
        <w:t> </w:t>
      </w:r>
      <w:r w:rsidRPr="00372388">
        <w:rPr>
          <w:rFonts w:ascii="Times New Roman" w:hAnsi="Times New Roman"/>
        </w:rPr>
        <w:t xml:space="preserve">ff. Rn. 176 </w:t>
      </w:r>
      <w:r>
        <w:rPr>
          <w:rFonts w:ascii="Times New Roman" w:hAnsi="Times New Roman"/>
        </w:rPr>
        <w:t> </w:t>
      </w:r>
      <w:r w:rsidRPr="00372388">
        <w:rPr>
          <w:rFonts w:ascii="Times New Roman" w:hAnsi="Times New Roman"/>
        </w:rPr>
        <w:t xml:space="preserve">ff.) – </w:t>
      </w:r>
      <w:r w:rsidRPr="001D75DC">
        <w:rPr>
          <w:rFonts w:ascii="Times New Roman" w:hAnsi="Times New Roman"/>
          <w:i/>
        </w:rPr>
        <w:t>FFG</w:t>
      </w:r>
      <w:r w:rsidRPr="00372388">
        <w:rPr>
          <w:rFonts w:ascii="Times New Roman" w:hAnsi="Times New Roman"/>
        </w:rPr>
        <w:t xml:space="preserve">; </w:t>
      </w:r>
      <w:r w:rsidRPr="00372388">
        <w:rPr>
          <w:rFonts w:ascii="Times New Roman" w:hAnsi="Times New Roman"/>
          <w:i/>
        </w:rPr>
        <w:t>D. Wolff</w:t>
      </w:r>
      <w:r w:rsidRPr="00372388">
        <w:rPr>
          <w:rFonts w:ascii="Times New Roman" w:hAnsi="Times New Roman"/>
        </w:rPr>
        <w:t>, Willkür und Offensichtlichkeit. Die verfa</w:t>
      </w:r>
      <w:r w:rsidRPr="00372388">
        <w:rPr>
          <w:rFonts w:ascii="Times New Roman" w:hAnsi="Times New Roman"/>
        </w:rPr>
        <w:t>s</w:t>
      </w:r>
      <w:r w:rsidRPr="00372388">
        <w:rPr>
          <w:rFonts w:ascii="Times New Roman" w:hAnsi="Times New Roman"/>
        </w:rPr>
        <w:t>sungsgerichtliche Prüfung einer Verletzung von Art. 101 Abs.</w:t>
      </w:r>
      <w:r>
        <w:rPr>
          <w:rFonts w:ascii="Times New Roman" w:hAnsi="Times New Roman"/>
        </w:rPr>
        <w:t> </w:t>
      </w:r>
      <w:r w:rsidRPr="00372388">
        <w:rPr>
          <w:rFonts w:ascii="Times New Roman" w:hAnsi="Times New Roman"/>
        </w:rPr>
        <w:t>1 S.</w:t>
      </w:r>
      <w:r>
        <w:rPr>
          <w:rFonts w:ascii="Times New Roman" w:hAnsi="Times New Roman"/>
        </w:rPr>
        <w:t> </w:t>
      </w:r>
      <w:r w:rsidRPr="00372388">
        <w:rPr>
          <w:rFonts w:ascii="Times New Roman" w:hAnsi="Times New Roman"/>
        </w:rPr>
        <w:t>2 GG i.V.m. Art. 267 Abs.</w:t>
      </w:r>
      <w:r>
        <w:rPr>
          <w:rFonts w:ascii="Times New Roman" w:hAnsi="Times New Roman"/>
        </w:rPr>
        <w:t> </w:t>
      </w:r>
      <w:r w:rsidRPr="00372388">
        <w:rPr>
          <w:rFonts w:ascii="Times New Roman" w:hAnsi="Times New Roman"/>
        </w:rPr>
        <w:t xml:space="preserve">3 AEUV, AöR 141 (2016), </w:t>
      </w:r>
      <w:r>
        <w:rPr>
          <w:rFonts w:ascii="Times New Roman" w:hAnsi="Times New Roman"/>
        </w:rPr>
        <w:t>S. </w:t>
      </w:r>
      <w:r w:rsidRPr="00372388">
        <w:rPr>
          <w:rFonts w:ascii="Times New Roman" w:hAnsi="Times New Roman"/>
        </w:rPr>
        <w:t>40.</w:t>
      </w:r>
    </w:p>
  </w:footnote>
  <w:footnote w:id="64">
    <w:p w:rsidR="000640CE" w:rsidRPr="00372388" w:rsidRDefault="000640CE" w:rsidP="00A47CF3">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BVerfGE 140, 317 ff. – Identitätskontrolle I; BVerfG, EuGRZ 2016, 570; Bechluss vom 9. 11.2016 – 2 BvR 545/16 –, juris; EuGH, Urteil vom 5. April 2016, Rs. C-404/15 und C-659/15 PPU, ECLI:EU:C:2016:198 – Aranyosi und Caldararu.</w:t>
      </w:r>
    </w:p>
  </w:footnote>
  <w:footnote w:id="65">
    <w:p w:rsidR="000640CE" w:rsidRPr="00372388" w:rsidRDefault="000640CE">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Vgl. nur BVerfG, Stattgebender Kammerbeschluss vom 08. Mai 2017 – 2 BvR 157/17, juris – Überstellung an Griechenland. </w:t>
      </w:r>
    </w:p>
  </w:footnote>
  <w:footnote w:id="66">
    <w:p w:rsidR="000640CE" w:rsidRPr="00372388" w:rsidRDefault="000640CE">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EuGH, Urteil vom 26. Februar 2013, Rs. C-399/11, ECLI:EU:C:2013:107 – Melloni.</w:t>
      </w:r>
    </w:p>
  </w:footnote>
  <w:footnote w:id="67">
    <w:p w:rsidR="000640CE" w:rsidRPr="00372388" w:rsidRDefault="000640CE">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BVerfGE 140, 317 (355 ff., Rn. 84 ff.) – Identitätskontrolle I; EuGH, Urteil vom 5. April 2016, Rs. C-404/15 und C-659/15 PPU, ECLI:EU:C:2016:198 – Aranyosi und Caldararu.</w:t>
      </w:r>
    </w:p>
  </w:footnote>
  <w:footnote w:id="68">
    <w:p w:rsidR="000640CE" w:rsidRPr="00372388" w:rsidRDefault="000640CE" w:rsidP="006D0400">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BVerfGE 142, 123 (193 Rn. 132) – OMT.</w:t>
      </w:r>
    </w:p>
  </w:footnote>
  <w:footnote w:id="69">
    <w:p w:rsidR="000640CE" w:rsidRPr="00372388" w:rsidRDefault="000640CE" w:rsidP="006D0400">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BVerfGE 89, 155 (188) – </w:t>
      </w:r>
      <w:r w:rsidRPr="001D75DC">
        <w:rPr>
          <w:rFonts w:ascii="Times New Roman" w:hAnsi="Times New Roman"/>
          <w:i/>
        </w:rPr>
        <w:t>Maastricht</w:t>
      </w:r>
      <w:r w:rsidRPr="00372388">
        <w:rPr>
          <w:rFonts w:ascii="Times New Roman" w:hAnsi="Times New Roman"/>
        </w:rPr>
        <w:t>; 142, 123 (189</w:t>
      </w:r>
      <w:r>
        <w:rPr>
          <w:rFonts w:ascii="Times New Roman" w:hAnsi="Times New Roman"/>
        </w:rPr>
        <w:t> </w:t>
      </w:r>
      <w:r w:rsidRPr="00372388">
        <w:rPr>
          <w:rFonts w:ascii="Times New Roman" w:hAnsi="Times New Roman"/>
        </w:rPr>
        <w:t>ff. Rn. 122</w:t>
      </w:r>
      <w:r>
        <w:rPr>
          <w:rFonts w:ascii="Times New Roman" w:hAnsi="Times New Roman"/>
        </w:rPr>
        <w:t> </w:t>
      </w:r>
      <w:r w:rsidRPr="00372388">
        <w:rPr>
          <w:rFonts w:ascii="Times New Roman" w:hAnsi="Times New Roman"/>
        </w:rPr>
        <w:t>ff.,136</w:t>
      </w:r>
      <w:r>
        <w:rPr>
          <w:rFonts w:ascii="Times New Roman" w:hAnsi="Times New Roman"/>
        </w:rPr>
        <w:t> </w:t>
      </w:r>
      <w:r w:rsidRPr="00372388">
        <w:rPr>
          <w:rFonts w:ascii="Times New Roman" w:hAnsi="Times New Roman"/>
        </w:rPr>
        <w:t xml:space="preserve">ff.) – </w:t>
      </w:r>
      <w:r w:rsidRPr="001D75DC">
        <w:rPr>
          <w:rFonts w:ascii="Times New Roman" w:hAnsi="Times New Roman"/>
          <w:i/>
        </w:rPr>
        <w:t>OMT</w:t>
      </w:r>
      <w:r w:rsidRPr="00372388">
        <w:rPr>
          <w:rFonts w:ascii="Times New Roman" w:hAnsi="Times New Roman"/>
        </w:rPr>
        <w:t xml:space="preserve">; früher schon BVerfGE 75, 223 (235, 242) – </w:t>
      </w:r>
      <w:r w:rsidRPr="001D75DC">
        <w:rPr>
          <w:rFonts w:ascii="Times New Roman" w:hAnsi="Times New Roman"/>
          <w:i/>
        </w:rPr>
        <w:t>Kloppenburg</w:t>
      </w:r>
      <w:r w:rsidRPr="00372388">
        <w:rPr>
          <w:rFonts w:ascii="Times New Roman" w:hAnsi="Times New Roman"/>
        </w:rPr>
        <w:t>.</w:t>
      </w:r>
    </w:p>
  </w:footnote>
  <w:footnote w:id="70">
    <w:p w:rsidR="000640CE" w:rsidRPr="00372388" w:rsidRDefault="000640CE" w:rsidP="006D0400">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BVerfGE 37, 271 (279 f.) – </w:t>
      </w:r>
      <w:r w:rsidRPr="001D75DC">
        <w:rPr>
          <w:rFonts w:ascii="Times New Roman" w:hAnsi="Times New Roman"/>
          <w:i/>
        </w:rPr>
        <w:t>Solange I</w:t>
      </w:r>
      <w:r w:rsidRPr="00372388">
        <w:rPr>
          <w:rFonts w:ascii="Times New Roman" w:hAnsi="Times New Roman"/>
        </w:rPr>
        <w:t>.</w:t>
      </w:r>
    </w:p>
  </w:footnote>
  <w:footnote w:id="71">
    <w:p w:rsidR="000640CE" w:rsidRPr="00372388" w:rsidRDefault="000640CE" w:rsidP="006D0400">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BVerfGE 73, 339 (375 ff.) – </w:t>
      </w:r>
      <w:r w:rsidRPr="001D75DC">
        <w:rPr>
          <w:rFonts w:ascii="Times New Roman" w:hAnsi="Times New Roman"/>
          <w:i/>
        </w:rPr>
        <w:t>Solange II</w:t>
      </w:r>
      <w:r w:rsidRPr="00372388">
        <w:rPr>
          <w:rFonts w:ascii="Times New Roman" w:hAnsi="Times New Roman"/>
        </w:rPr>
        <w:t>.</w:t>
      </w:r>
    </w:p>
  </w:footnote>
  <w:footnote w:id="72">
    <w:p w:rsidR="000640CE" w:rsidRPr="00372388" w:rsidRDefault="000640CE" w:rsidP="006D0400">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BVerfGE 89, 155 (182 ff.) – </w:t>
      </w:r>
      <w:r w:rsidRPr="001D75DC">
        <w:rPr>
          <w:rFonts w:ascii="Times New Roman" w:hAnsi="Times New Roman"/>
          <w:i/>
        </w:rPr>
        <w:t>Maastricht</w:t>
      </w:r>
      <w:r w:rsidRPr="00372388">
        <w:rPr>
          <w:rFonts w:ascii="Times New Roman" w:hAnsi="Times New Roman"/>
        </w:rPr>
        <w:t>.</w:t>
      </w:r>
    </w:p>
  </w:footnote>
  <w:footnote w:id="73">
    <w:p w:rsidR="000640CE" w:rsidRPr="00372388" w:rsidRDefault="000640CE" w:rsidP="006D0400">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BVerfGE 123, 267 (343 ff.) – </w:t>
      </w:r>
      <w:r w:rsidRPr="001D75DC">
        <w:rPr>
          <w:rFonts w:ascii="Times New Roman" w:hAnsi="Times New Roman"/>
          <w:i/>
        </w:rPr>
        <w:t>Lissabon</w:t>
      </w:r>
      <w:r w:rsidRPr="00372388">
        <w:rPr>
          <w:rFonts w:ascii="Times New Roman" w:hAnsi="Times New Roman"/>
        </w:rPr>
        <w:t>.</w:t>
      </w:r>
    </w:p>
  </w:footnote>
  <w:footnote w:id="74">
    <w:p w:rsidR="000640CE" w:rsidRPr="00372388" w:rsidRDefault="000640CE" w:rsidP="006D0400">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BVerfGE 129, 124 (177) – </w:t>
      </w:r>
      <w:r w:rsidRPr="001D75DC">
        <w:rPr>
          <w:rFonts w:ascii="Times New Roman" w:hAnsi="Times New Roman"/>
          <w:i/>
        </w:rPr>
        <w:t>EFSF</w:t>
      </w:r>
      <w:r w:rsidRPr="00372388">
        <w:rPr>
          <w:rFonts w:ascii="Times New Roman" w:hAnsi="Times New Roman"/>
        </w:rPr>
        <w:t>; 132, 195 (240</w:t>
      </w:r>
      <w:r>
        <w:rPr>
          <w:rFonts w:ascii="Times New Roman" w:hAnsi="Times New Roman"/>
        </w:rPr>
        <w:t> </w:t>
      </w:r>
      <w:r w:rsidRPr="00372388">
        <w:rPr>
          <w:rFonts w:ascii="Times New Roman" w:hAnsi="Times New Roman"/>
        </w:rPr>
        <w:t>f., Rn. 109</w:t>
      </w:r>
      <w:r>
        <w:rPr>
          <w:rFonts w:ascii="Times New Roman" w:hAnsi="Times New Roman"/>
        </w:rPr>
        <w:t> </w:t>
      </w:r>
      <w:r w:rsidRPr="00372388">
        <w:rPr>
          <w:rFonts w:ascii="Times New Roman" w:hAnsi="Times New Roman"/>
        </w:rPr>
        <w:t>f.) – e.A. ESM; 135, 317</w:t>
      </w:r>
      <w:r>
        <w:rPr>
          <w:rFonts w:ascii="Times New Roman" w:hAnsi="Times New Roman"/>
        </w:rPr>
        <w:t> </w:t>
      </w:r>
      <w:r w:rsidRPr="00372388">
        <w:rPr>
          <w:rFonts w:ascii="Times New Roman" w:hAnsi="Times New Roman"/>
        </w:rPr>
        <w:t xml:space="preserve">ff. </w:t>
      </w:r>
      <w:r>
        <w:rPr>
          <w:rFonts w:ascii="Times New Roman" w:hAnsi="Times New Roman"/>
        </w:rPr>
        <w:t>–</w:t>
      </w:r>
      <w:r w:rsidRPr="00372388">
        <w:rPr>
          <w:rFonts w:ascii="Times New Roman" w:hAnsi="Times New Roman"/>
        </w:rPr>
        <w:t xml:space="preserve"> </w:t>
      </w:r>
      <w:r w:rsidRPr="001D75DC">
        <w:rPr>
          <w:rFonts w:ascii="Times New Roman" w:hAnsi="Times New Roman"/>
          <w:i/>
        </w:rPr>
        <w:t>ESM</w:t>
      </w:r>
      <w:r w:rsidRPr="00372388">
        <w:rPr>
          <w:rFonts w:ascii="Times New Roman" w:hAnsi="Times New Roman"/>
        </w:rPr>
        <w:t>.</w:t>
      </w:r>
    </w:p>
  </w:footnote>
  <w:footnote w:id="75">
    <w:p w:rsidR="000640CE" w:rsidRPr="00372388" w:rsidRDefault="000640CE" w:rsidP="006D0400">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BVerfGE 140, 317 ff. – </w:t>
      </w:r>
      <w:r w:rsidRPr="001D75DC">
        <w:rPr>
          <w:rFonts w:ascii="Times New Roman" w:hAnsi="Times New Roman"/>
          <w:i/>
        </w:rPr>
        <w:t>Identitätskontrolle I</w:t>
      </w:r>
      <w:r w:rsidRPr="00372388">
        <w:rPr>
          <w:rFonts w:ascii="Times New Roman" w:hAnsi="Times New Roman"/>
        </w:rPr>
        <w:t>.</w:t>
      </w:r>
    </w:p>
  </w:footnote>
  <w:footnote w:id="76">
    <w:p w:rsidR="000640CE" w:rsidRPr="00372388" w:rsidRDefault="000640CE">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BVerfGE 142, 123 (194 Rn. 136 ff.) – </w:t>
      </w:r>
      <w:r w:rsidRPr="001D75DC">
        <w:rPr>
          <w:rFonts w:ascii="Times New Roman" w:hAnsi="Times New Roman"/>
          <w:i/>
        </w:rPr>
        <w:t>OMT</w:t>
      </w:r>
      <w:r w:rsidRPr="00372388">
        <w:rPr>
          <w:rFonts w:ascii="Times New Roman" w:hAnsi="Times New Roman"/>
        </w:rPr>
        <w:t>.</w:t>
      </w:r>
    </w:p>
  </w:footnote>
  <w:footnote w:id="77">
    <w:p w:rsidR="000640CE" w:rsidRPr="00372388" w:rsidRDefault="000640CE">
      <w:pPr>
        <w:pStyle w:val="Funotentext"/>
        <w:rPr>
          <w:rFonts w:ascii="Times New Roman" w:hAnsi="Times New Roman"/>
          <w:lang w:val="en-US"/>
        </w:rPr>
      </w:pPr>
      <w:r w:rsidRPr="00372388">
        <w:rPr>
          <w:rStyle w:val="Funotenzeichen"/>
          <w:rFonts w:ascii="Times New Roman" w:hAnsi="Times New Roman" w:cs="Times New Roman"/>
        </w:rPr>
        <w:footnoteRef/>
      </w:r>
      <w:r w:rsidRPr="00372388">
        <w:rPr>
          <w:rFonts w:ascii="Times New Roman" w:hAnsi="Times New Roman"/>
        </w:rPr>
        <w:t xml:space="preserve"> Vgl. für das Königreich Dänemark: Højesteret, Urteil vom 6. April 1998 </w:t>
      </w:r>
      <w:r>
        <w:rPr>
          <w:rFonts w:ascii="Times New Roman" w:hAnsi="Times New Roman"/>
        </w:rPr>
        <w:t>–</w:t>
      </w:r>
      <w:r w:rsidRPr="00372388">
        <w:rPr>
          <w:rFonts w:ascii="Times New Roman" w:hAnsi="Times New Roman"/>
        </w:rPr>
        <w:t xml:space="preserve"> I 361/1997 </w:t>
      </w:r>
      <w:r>
        <w:rPr>
          <w:rFonts w:ascii="Times New Roman" w:hAnsi="Times New Roman"/>
        </w:rPr>
        <w:t>–</w:t>
      </w:r>
      <w:r w:rsidRPr="00372388">
        <w:rPr>
          <w:rFonts w:ascii="Times New Roman" w:hAnsi="Times New Roman"/>
        </w:rPr>
        <w:t xml:space="preserve">, Abschn. 9.8; für die Republik Estland: Riigikohus, Urteil vom 12. Juli 2012 </w:t>
      </w:r>
      <w:r>
        <w:rPr>
          <w:rFonts w:ascii="Times New Roman" w:hAnsi="Times New Roman"/>
        </w:rPr>
        <w:t>–</w:t>
      </w:r>
      <w:r w:rsidRPr="00372388">
        <w:rPr>
          <w:rFonts w:ascii="Times New Roman" w:hAnsi="Times New Roman"/>
        </w:rPr>
        <w:t xml:space="preserve"> 3-4-1-6-12 </w:t>
      </w:r>
      <w:r>
        <w:rPr>
          <w:rFonts w:ascii="Times New Roman" w:hAnsi="Times New Roman"/>
        </w:rPr>
        <w:t>–</w:t>
      </w:r>
      <w:r w:rsidRPr="00372388">
        <w:rPr>
          <w:rFonts w:ascii="Times New Roman" w:hAnsi="Times New Roman"/>
        </w:rPr>
        <w:t>, Abs.-Nr. 128, 223; für die Französische Republik: Conseil Constitutionnel, Entscheidung Nr. 2006-540 DC vom 27. Juli 2006, 19. Erwägungsgrund; Entscheidung Nr. 2011-631 DC vom 9. Juni 2011, 45. Erwägungsgrund; Conseil d'État, Urteil vom 8. Februar 2007, Nr. 287110, Société Arcelor Atlantique et Lorraine, EuR 2008, S. 57 (60</w:t>
      </w:r>
      <w:r>
        <w:rPr>
          <w:rFonts w:ascii="Times New Roman" w:hAnsi="Times New Roman"/>
        </w:rPr>
        <w:t> </w:t>
      </w:r>
      <w:r w:rsidRPr="00372388">
        <w:rPr>
          <w:rFonts w:ascii="Times New Roman" w:hAnsi="Times New Roman"/>
        </w:rPr>
        <w:t xml:space="preserve">f.); für Irland: Supreme Court of Ireland, Crotty v. An Taoiseach, 1987, I.R. 713 (783); S.P.U.C. Ireland Ltd. v. Grogan, 1989, I.R. 753 (765); für die Italienische Republik: Corte Costituzionale, Entscheidung Nr. 98/1965, Acciaierie San Michele, EuR 1966, S. 146; Entscheidung Nr. 183/1973, Frontini, EuR 1974, S. 255; Entscheidung Nr. 170/1984, Granital, EuGRZ 1985, S. 98; Entscheidung Nr. 232/1989, Fragd; Entscheidung Nr. 168/1991; Entscheidung Nr. 117/1994, Zerini; für die Republik Lettland: Satversmes tiesa, Urteil vom 7. April 2009 </w:t>
      </w:r>
      <w:r>
        <w:rPr>
          <w:rFonts w:ascii="Times New Roman" w:hAnsi="Times New Roman"/>
        </w:rPr>
        <w:t>–</w:t>
      </w:r>
      <w:r w:rsidRPr="00372388">
        <w:rPr>
          <w:rFonts w:ascii="Times New Roman" w:hAnsi="Times New Roman"/>
        </w:rPr>
        <w:t xml:space="preserve"> 2008-35-01 </w:t>
      </w:r>
      <w:r>
        <w:rPr>
          <w:rFonts w:ascii="Times New Roman" w:hAnsi="Times New Roman"/>
        </w:rPr>
        <w:t>–</w:t>
      </w:r>
      <w:r w:rsidRPr="00372388">
        <w:rPr>
          <w:rFonts w:ascii="Times New Roman" w:hAnsi="Times New Roman"/>
        </w:rPr>
        <w:t>, Abs.Nr. 17; für die R</w:t>
      </w:r>
      <w:r w:rsidRPr="00372388">
        <w:rPr>
          <w:rFonts w:ascii="Times New Roman" w:hAnsi="Times New Roman"/>
        </w:rPr>
        <w:t>e</w:t>
      </w:r>
      <w:r w:rsidRPr="00372388">
        <w:rPr>
          <w:rFonts w:ascii="Times New Roman" w:hAnsi="Times New Roman"/>
        </w:rPr>
        <w:t xml:space="preserve">publik Polen: Trybunal Konstytucyjny, Urteile vom 11. Mai 2005 </w:t>
      </w:r>
      <w:r>
        <w:rPr>
          <w:rFonts w:ascii="Times New Roman" w:hAnsi="Times New Roman"/>
        </w:rPr>
        <w:t>–</w:t>
      </w:r>
      <w:r w:rsidRPr="00372388">
        <w:rPr>
          <w:rFonts w:ascii="Times New Roman" w:hAnsi="Times New Roman"/>
        </w:rPr>
        <w:t xml:space="preserve"> K 18/04 </w:t>
      </w:r>
      <w:r>
        <w:rPr>
          <w:rFonts w:ascii="Times New Roman" w:hAnsi="Times New Roman"/>
        </w:rPr>
        <w:t>–</w:t>
      </w:r>
      <w:r w:rsidRPr="00372388">
        <w:rPr>
          <w:rFonts w:ascii="Times New Roman" w:hAnsi="Times New Roman"/>
        </w:rPr>
        <w:t>, Rn. 4.1., 10.2.; vom 24. Nove</w:t>
      </w:r>
      <w:r w:rsidRPr="00372388">
        <w:rPr>
          <w:rFonts w:ascii="Times New Roman" w:hAnsi="Times New Roman"/>
        </w:rPr>
        <w:t>m</w:t>
      </w:r>
      <w:r w:rsidRPr="00372388">
        <w:rPr>
          <w:rFonts w:ascii="Times New Roman" w:hAnsi="Times New Roman"/>
        </w:rPr>
        <w:t xml:space="preserve">ber 2010 </w:t>
      </w:r>
      <w:r>
        <w:rPr>
          <w:rFonts w:ascii="Times New Roman" w:hAnsi="Times New Roman"/>
        </w:rPr>
        <w:t>–</w:t>
      </w:r>
      <w:r w:rsidRPr="00372388">
        <w:rPr>
          <w:rFonts w:ascii="Times New Roman" w:hAnsi="Times New Roman"/>
        </w:rPr>
        <w:t xml:space="preserve"> K 32/09 </w:t>
      </w:r>
      <w:r>
        <w:rPr>
          <w:rFonts w:ascii="Times New Roman" w:hAnsi="Times New Roman"/>
        </w:rPr>
        <w:t>–</w:t>
      </w:r>
      <w:r w:rsidRPr="00372388">
        <w:rPr>
          <w:rFonts w:ascii="Times New Roman" w:hAnsi="Times New Roman"/>
        </w:rPr>
        <w:t>, Rn. 2.1.</w:t>
      </w:r>
      <w:r>
        <w:rPr>
          <w:rFonts w:ascii="Times New Roman" w:hAnsi="Times New Roman"/>
        </w:rPr>
        <w:t> </w:t>
      </w:r>
      <w:r w:rsidRPr="00372388">
        <w:rPr>
          <w:rFonts w:ascii="Times New Roman" w:hAnsi="Times New Roman"/>
        </w:rPr>
        <w:t xml:space="preserve">ff.; vom 16. November 2011 </w:t>
      </w:r>
      <w:r>
        <w:rPr>
          <w:rFonts w:ascii="Times New Roman" w:hAnsi="Times New Roman"/>
        </w:rPr>
        <w:t>–</w:t>
      </w:r>
      <w:r w:rsidRPr="00372388">
        <w:rPr>
          <w:rFonts w:ascii="Times New Roman" w:hAnsi="Times New Roman"/>
        </w:rPr>
        <w:t xml:space="preserve"> SK 45/09 </w:t>
      </w:r>
      <w:r>
        <w:rPr>
          <w:rFonts w:ascii="Times New Roman" w:hAnsi="Times New Roman"/>
        </w:rPr>
        <w:t>–</w:t>
      </w:r>
      <w:r w:rsidRPr="00372388">
        <w:rPr>
          <w:rFonts w:ascii="Times New Roman" w:hAnsi="Times New Roman"/>
        </w:rPr>
        <w:t>, Rn. 2.4., 2.5.; für das Königreich Spanien: Tribunal Constitucional, Erklärung vom 13. Dezember 2004, DTC 1/2004, Punkt</w:t>
      </w:r>
      <w:r>
        <w:rPr>
          <w:rFonts w:ascii="Times New Roman" w:hAnsi="Times New Roman"/>
        </w:rPr>
        <w:t> </w:t>
      </w:r>
      <w:r w:rsidRPr="00372388">
        <w:rPr>
          <w:rFonts w:ascii="Times New Roman" w:hAnsi="Times New Roman"/>
        </w:rPr>
        <w:t>2 der Entscheidung</w:t>
      </w:r>
      <w:r w:rsidRPr="00372388">
        <w:rPr>
          <w:rFonts w:ascii="Times New Roman" w:hAnsi="Times New Roman"/>
        </w:rPr>
        <w:t>s</w:t>
      </w:r>
      <w:r w:rsidRPr="00372388">
        <w:rPr>
          <w:rFonts w:ascii="Times New Roman" w:hAnsi="Times New Roman"/>
        </w:rPr>
        <w:t>gründe, EuR 2005, S. 339 (343) und Entscheidung vom 13. Februar 2014, STC 26/2014, Punkt</w:t>
      </w:r>
      <w:r>
        <w:rPr>
          <w:rFonts w:ascii="Times New Roman" w:hAnsi="Times New Roman"/>
        </w:rPr>
        <w:t> </w:t>
      </w:r>
      <w:r w:rsidRPr="00372388">
        <w:rPr>
          <w:rFonts w:ascii="Times New Roman" w:hAnsi="Times New Roman"/>
        </w:rPr>
        <w:t>3 der Entsche</w:t>
      </w:r>
      <w:r w:rsidRPr="00372388">
        <w:rPr>
          <w:rFonts w:ascii="Times New Roman" w:hAnsi="Times New Roman"/>
        </w:rPr>
        <w:t>i</w:t>
      </w:r>
      <w:r w:rsidRPr="00372388">
        <w:rPr>
          <w:rFonts w:ascii="Times New Roman" w:hAnsi="Times New Roman"/>
        </w:rPr>
        <w:t>dungsgründe, HRLJ 2014, S. 475 (477</w:t>
      </w:r>
      <w:r>
        <w:rPr>
          <w:rFonts w:ascii="Times New Roman" w:hAnsi="Times New Roman"/>
        </w:rPr>
        <w:t> </w:t>
      </w:r>
      <w:r w:rsidRPr="00372388">
        <w:rPr>
          <w:rFonts w:ascii="Times New Roman" w:hAnsi="Times New Roman"/>
        </w:rPr>
        <w:t>f.); für die Tschechische Republik: Ústavni Soud, Urteil vom 8. März 2006, Pl. ÚS 50/04, Abschn. VI.B.; Urteil vom 3. Mai 2006, Pl. ÚS 66/04, Rn. 53; Urteil vom 26. November 2008, Pl. ÚS 19/08, Rn. 97, 113, 196; Urteil vom 3. November 2009, Pl. ÚS 29/09, Rn. 110</w:t>
      </w:r>
      <w:r>
        <w:rPr>
          <w:rFonts w:ascii="Times New Roman" w:hAnsi="Times New Roman"/>
        </w:rPr>
        <w:t> </w:t>
      </w:r>
      <w:r w:rsidRPr="00372388">
        <w:rPr>
          <w:rFonts w:ascii="Times New Roman" w:hAnsi="Times New Roman"/>
        </w:rPr>
        <w:t xml:space="preserve">ff.; Urteil vom 31. Januar 2012, Pl. ÚS 5/12, Abschn. VII.; für das Vereinigte Königreich: High Court, Urteil vom 18. </w:t>
      </w:r>
      <w:r w:rsidRPr="00E03B15">
        <w:rPr>
          <w:rFonts w:ascii="Times New Roman" w:hAnsi="Times New Roman"/>
          <w:lang w:val="en-US"/>
        </w:rPr>
        <w:t xml:space="preserve">Februar 2002, Thoburn v. Sunderland City Council, 2002 EWHC 195, Abs.Nr. </w:t>
      </w:r>
      <w:proofErr w:type="gramStart"/>
      <w:r w:rsidRPr="00E03B15">
        <w:rPr>
          <w:rFonts w:ascii="Times New Roman" w:hAnsi="Times New Roman"/>
          <w:lang w:val="en-US"/>
        </w:rPr>
        <w:t>69; UK Supreme Court, Urteil vom 22.</w:t>
      </w:r>
      <w:proofErr w:type="gramEnd"/>
      <w:r w:rsidRPr="00E03B15">
        <w:rPr>
          <w:rFonts w:ascii="Times New Roman" w:hAnsi="Times New Roman"/>
          <w:lang w:val="en-US"/>
        </w:rPr>
        <w:t xml:space="preserve"> </w:t>
      </w:r>
      <w:proofErr w:type="gramStart"/>
      <w:r w:rsidRPr="00372388">
        <w:rPr>
          <w:rFonts w:ascii="Times New Roman" w:hAnsi="Times New Roman"/>
          <w:lang w:val="en-US"/>
        </w:rPr>
        <w:t>Januar 2014, R (on the application of HS2 Action Alliance Limited) v.</w:t>
      </w:r>
      <w:proofErr w:type="gramEnd"/>
      <w:r w:rsidRPr="00372388">
        <w:rPr>
          <w:rFonts w:ascii="Times New Roman" w:hAnsi="Times New Roman"/>
          <w:lang w:val="en-US"/>
        </w:rPr>
        <w:t xml:space="preserve"> </w:t>
      </w:r>
      <w:proofErr w:type="gramStart"/>
      <w:r w:rsidRPr="00372388">
        <w:rPr>
          <w:rFonts w:ascii="Times New Roman" w:hAnsi="Times New Roman"/>
          <w:lang w:val="en-US"/>
        </w:rPr>
        <w:t>The Secretary of State for Transport, 2014 UKSC 3, Abs.Nr.</w:t>
      </w:r>
      <w:proofErr w:type="gramEnd"/>
      <w:r w:rsidRPr="00372388">
        <w:rPr>
          <w:rFonts w:ascii="Times New Roman" w:hAnsi="Times New Roman"/>
          <w:lang w:val="en-US"/>
        </w:rPr>
        <w:t xml:space="preserve"> </w:t>
      </w:r>
      <w:proofErr w:type="gramStart"/>
      <w:r w:rsidRPr="00372388">
        <w:rPr>
          <w:rFonts w:ascii="Times New Roman" w:hAnsi="Times New Roman"/>
          <w:lang w:val="en-US"/>
        </w:rPr>
        <w:t>79, 207; Urteil vom 25.</w:t>
      </w:r>
      <w:proofErr w:type="gramEnd"/>
      <w:r w:rsidRPr="00372388">
        <w:rPr>
          <w:rFonts w:ascii="Times New Roman" w:hAnsi="Times New Roman"/>
          <w:lang w:val="en-US"/>
        </w:rPr>
        <w:t xml:space="preserve"> </w:t>
      </w:r>
      <w:proofErr w:type="gramStart"/>
      <w:r w:rsidRPr="00372388">
        <w:rPr>
          <w:rFonts w:ascii="Times New Roman" w:hAnsi="Times New Roman"/>
          <w:lang w:val="en-US"/>
        </w:rPr>
        <w:t>März 2015, Pham v. Secretary of State for the Home Depar</w:t>
      </w:r>
      <w:r w:rsidRPr="00372388">
        <w:rPr>
          <w:rFonts w:ascii="Times New Roman" w:hAnsi="Times New Roman"/>
          <w:lang w:val="en-US"/>
        </w:rPr>
        <w:t>t</w:t>
      </w:r>
      <w:r w:rsidRPr="00372388">
        <w:rPr>
          <w:rFonts w:ascii="Times New Roman" w:hAnsi="Times New Roman"/>
          <w:lang w:val="en-US"/>
        </w:rPr>
        <w:t>ment, 2015 UKSC 19, Abs.Nr.</w:t>
      </w:r>
      <w:proofErr w:type="gramEnd"/>
      <w:r w:rsidRPr="00372388">
        <w:rPr>
          <w:rFonts w:ascii="Times New Roman" w:hAnsi="Times New Roman"/>
          <w:lang w:val="en-US"/>
        </w:rPr>
        <w:t xml:space="preserve"> </w:t>
      </w:r>
      <w:proofErr w:type="gramStart"/>
      <w:r w:rsidRPr="00372388">
        <w:rPr>
          <w:rFonts w:ascii="Times New Roman" w:hAnsi="Times New Roman"/>
          <w:lang w:val="en-US"/>
        </w:rPr>
        <w:t>54, 58, 72 bis 92.</w:t>
      </w:r>
      <w:proofErr w:type="gramEnd"/>
      <w:r w:rsidRPr="00372388">
        <w:rPr>
          <w:rFonts w:ascii="Times New Roman" w:hAnsi="Times New Roman"/>
          <w:lang w:val="en-US"/>
        </w:rPr>
        <w:t xml:space="preserve"> </w:t>
      </w:r>
    </w:p>
  </w:footnote>
  <w:footnote w:id="78">
    <w:p w:rsidR="000640CE" w:rsidRPr="00372388" w:rsidRDefault="000640CE" w:rsidP="00C7235B">
      <w:pPr>
        <w:pStyle w:val="Funotentext"/>
        <w:rPr>
          <w:rFonts w:ascii="Times New Roman" w:hAnsi="Times New Roman"/>
          <w:lang w:val="en-US"/>
        </w:rPr>
      </w:pPr>
      <w:r w:rsidRPr="00372388">
        <w:rPr>
          <w:rStyle w:val="Funotenzeichen"/>
          <w:rFonts w:ascii="Times New Roman" w:hAnsi="Times New Roman" w:cs="Times New Roman"/>
        </w:rPr>
        <w:footnoteRef/>
      </w:r>
      <w:r w:rsidRPr="00372388">
        <w:rPr>
          <w:rFonts w:ascii="Times New Roman" w:hAnsi="Times New Roman"/>
          <w:lang w:val="en-US"/>
        </w:rPr>
        <w:t xml:space="preserve"> Dänemark: Højesteret Case no. 15/2014</w:t>
      </w:r>
      <w:hyperlink r:id="rId12" w:history="1">
        <w:r w:rsidRPr="00372388">
          <w:rPr>
            <w:rStyle w:val="Hyperlink"/>
            <w:rFonts w:ascii="Times New Roman" w:hAnsi="Times New Roman"/>
            <w:color w:val="auto"/>
            <w:u w:val="none"/>
            <w:lang w:val="en-US"/>
          </w:rPr>
          <w:t xml:space="preserve"> </w:t>
        </w:r>
        <w:r w:rsidRPr="00372388">
          <w:rPr>
            <w:rStyle w:val="Hyperlink"/>
            <w:rFonts w:ascii="Times New Roman" w:hAnsi="Times New Roman"/>
            <w:i/>
            <w:iCs/>
            <w:color w:val="auto"/>
            <w:u w:val="none"/>
            <w:lang w:val="en-US"/>
          </w:rPr>
          <w:t>Dansk Industri (DI) acting for Ajos A/S vs. The estate left by A</w:t>
        </w:r>
      </w:hyperlink>
      <w:r w:rsidRPr="00372388">
        <w:rPr>
          <w:rFonts w:ascii="Times New Roman" w:hAnsi="Times New Roman"/>
          <w:lang w:val="en-US"/>
        </w:rPr>
        <w:t xml:space="preserve">; Deutschland: BVerfGE 134, 366 </w:t>
      </w:r>
      <w:r>
        <w:rPr>
          <w:rFonts w:ascii="Times New Roman" w:hAnsi="Times New Roman"/>
          <w:lang w:val="en-US"/>
        </w:rPr>
        <w:t> </w:t>
      </w:r>
      <w:r w:rsidRPr="00372388">
        <w:rPr>
          <w:rFonts w:ascii="Times New Roman" w:hAnsi="Times New Roman"/>
          <w:lang w:val="en-US"/>
        </w:rPr>
        <w:t>ff.; 142, 123</w:t>
      </w:r>
      <w:r>
        <w:rPr>
          <w:rFonts w:ascii="Times New Roman" w:hAnsi="Times New Roman"/>
          <w:lang w:val="en-US"/>
        </w:rPr>
        <w:t> </w:t>
      </w:r>
      <w:r w:rsidRPr="00372388">
        <w:rPr>
          <w:rFonts w:ascii="Times New Roman" w:hAnsi="Times New Roman"/>
          <w:lang w:val="en-US"/>
        </w:rPr>
        <w:t xml:space="preserve">ff. – </w:t>
      </w:r>
      <w:r w:rsidRPr="001D75DC">
        <w:rPr>
          <w:rFonts w:ascii="Times New Roman" w:hAnsi="Times New Roman"/>
          <w:i/>
          <w:lang w:val="en-US"/>
        </w:rPr>
        <w:t>OMT</w:t>
      </w:r>
      <w:r w:rsidRPr="00372388">
        <w:rPr>
          <w:rFonts w:ascii="Times New Roman" w:hAnsi="Times New Roman"/>
          <w:lang w:val="en-US"/>
        </w:rPr>
        <w:t xml:space="preserve">; Tschechien: Ústavni Soud, Urteil vom 31. Januar 2012 </w:t>
      </w:r>
      <w:r>
        <w:rPr>
          <w:rFonts w:ascii="Times New Roman" w:hAnsi="Times New Roman"/>
          <w:lang w:val="en-US"/>
        </w:rPr>
        <w:t>–</w:t>
      </w:r>
      <w:r w:rsidRPr="00372388">
        <w:rPr>
          <w:rFonts w:ascii="Times New Roman" w:hAnsi="Times New Roman"/>
          <w:lang w:val="en-US"/>
        </w:rPr>
        <w:t xml:space="preserve"> 2012/01/31 </w:t>
      </w:r>
      <w:r>
        <w:rPr>
          <w:rFonts w:ascii="Times New Roman" w:hAnsi="Times New Roman"/>
          <w:lang w:val="en-US"/>
        </w:rPr>
        <w:t>–</w:t>
      </w:r>
      <w:r w:rsidRPr="00372388">
        <w:rPr>
          <w:rFonts w:ascii="Times New Roman" w:hAnsi="Times New Roman"/>
          <w:lang w:val="en-US"/>
        </w:rPr>
        <w:t xml:space="preserve"> Pl. ÚS 5/12 </w:t>
      </w:r>
      <w:r>
        <w:rPr>
          <w:rFonts w:ascii="Times New Roman" w:hAnsi="Times New Roman"/>
          <w:lang w:val="en-US"/>
        </w:rPr>
        <w:t>–</w:t>
      </w:r>
      <w:r w:rsidRPr="00372388">
        <w:rPr>
          <w:rFonts w:ascii="Times New Roman" w:hAnsi="Times New Roman"/>
          <w:lang w:val="en-US"/>
        </w:rPr>
        <w:t xml:space="preserve">, Abschn. VII. – </w:t>
      </w:r>
      <w:r w:rsidRPr="001D75DC">
        <w:rPr>
          <w:rFonts w:ascii="Times New Roman" w:hAnsi="Times New Roman"/>
          <w:i/>
          <w:lang w:val="en-US"/>
        </w:rPr>
        <w:t>Holoubec</w:t>
      </w:r>
      <w:r w:rsidRPr="00372388">
        <w:rPr>
          <w:rFonts w:ascii="Times New Roman" w:hAnsi="Times New Roman"/>
          <w:lang w:val="en-US"/>
        </w:rPr>
        <w:t xml:space="preserve">; Vereinigtes Königreich: UK Supreme Court - R (on the application of HS2 Action Alliance Limited) v The Secretary of State for Transport and another </w:t>
      </w:r>
      <w:r>
        <w:rPr>
          <w:rFonts w:ascii="Times New Roman" w:hAnsi="Times New Roman"/>
          <w:lang w:val="en-US"/>
        </w:rPr>
        <w:t>–</w:t>
      </w:r>
      <w:r w:rsidRPr="00372388">
        <w:rPr>
          <w:rFonts w:ascii="Times New Roman" w:hAnsi="Times New Roman"/>
          <w:lang w:val="en-US"/>
        </w:rPr>
        <w:t xml:space="preserve"> [2014] UKSC 3, Lord Neuberger and Lord Mance with whom Lady Hale, Lord Kerr, Lord Sumption, Lord Reed and Lord Carnwath agree.</w:t>
      </w:r>
    </w:p>
  </w:footnote>
  <w:footnote w:id="79">
    <w:p w:rsidR="000640CE" w:rsidRPr="00372388" w:rsidRDefault="000640CE">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w:t>
      </w:r>
      <w:r w:rsidRPr="00372388">
        <w:rPr>
          <w:rFonts w:ascii="Times New Roman" w:hAnsi="Times New Roman"/>
          <w:i/>
        </w:rPr>
        <w:t>A. v. Bogdandy/C. Grabenwarter/P. M. Huber</w:t>
      </w:r>
      <w:r w:rsidRPr="00372388">
        <w:rPr>
          <w:rFonts w:ascii="Times New Roman" w:hAnsi="Times New Roman"/>
        </w:rPr>
        <w:t>, Verfassungsgerichtsbarkeit im europäischen Rechtsraum, in: dies. (Hrsg.), IPE VI, 2015, § 95 Rn. 18.</w:t>
      </w:r>
    </w:p>
  </w:footnote>
  <w:footnote w:id="80">
    <w:p w:rsidR="000640CE" w:rsidRPr="00372388" w:rsidRDefault="000640CE" w:rsidP="00330F88">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w:t>
      </w:r>
      <w:r w:rsidRPr="00372388">
        <w:rPr>
          <w:rFonts w:ascii="Times New Roman" w:hAnsi="Times New Roman"/>
          <w:i/>
        </w:rPr>
        <w:t>U. Everling</w:t>
      </w:r>
      <w:r w:rsidRPr="00372388">
        <w:rPr>
          <w:rFonts w:ascii="Times New Roman" w:hAnsi="Times New Roman"/>
        </w:rPr>
        <w:t xml:space="preserve">, Richterliche Rechtsfortbildung in der Europäischen Gemeinschaft, JZ 2000, </w:t>
      </w:r>
      <w:r>
        <w:rPr>
          <w:rFonts w:ascii="Times New Roman" w:hAnsi="Times New Roman"/>
        </w:rPr>
        <w:t>S. </w:t>
      </w:r>
      <w:r w:rsidRPr="00372388">
        <w:rPr>
          <w:rFonts w:ascii="Times New Roman" w:hAnsi="Times New Roman"/>
        </w:rPr>
        <w:t>219.</w:t>
      </w:r>
    </w:p>
  </w:footnote>
  <w:footnote w:id="81">
    <w:p w:rsidR="000640CE" w:rsidRPr="00372388" w:rsidRDefault="000640CE" w:rsidP="00330F88">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EuGH, Urteil vom 2. Juli 1996, Rs. C-473/93, SIg. 1996, I-3207, Rn. 35 – </w:t>
      </w:r>
      <w:r w:rsidRPr="001D75DC">
        <w:rPr>
          <w:rFonts w:ascii="Times New Roman" w:hAnsi="Times New Roman"/>
          <w:i/>
        </w:rPr>
        <w:t>Kommission/Luxemburg</w:t>
      </w:r>
      <w:r w:rsidRPr="00372388">
        <w:rPr>
          <w:rFonts w:ascii="Times New Roman" w:hAnsi="Times New Roman"/>
        </w:rPr>
        <w:t xml:space="preserve">; Urteil vom 14. Oktober 2004, Rs. C-36/02, Slg. 2004, I-9609, Rn. 31 ff. – </w:t>
      </w:r>
      <w:r w:rsidRPr="001D75DC">
        <w:rPr>
          <w:rFonts w:ascii="Times New Roman" w:hAnsi="Times New Roman"/>
          <w:i/>
        </w:rPr>
        <w:t>Omega</w:t>
      </w:r>
      <w:r w:rsidRPr="00372388">
        <w:rPr>
          <w:rFonts w:ascii="Times New Roman" w:hAnsi="Times New Roman"/>
        </w:rPr>
        <w:t xml:space="preserve">; Urteil vom 12. Juni 2014, Rs. C-156/13, EU:C:2014:1756, Rn. 34 – </w:t>
      </w:r>
      <w:r w:rsidRPr="001D75DC">
        <w:rPr>
          <w:rFonts w:ascii="Times New Roman" w:hAnsi="Times New Roman"/>
          <w:i/>
        </w:rPr>
        <w:t>Digibet und Albers</w:t>
      </w:r>
      <w:r w:rsidRPr="00372388">
        <w:rPr>
          <w:rFonts w:ascii="Times New Roman" w:hAnsi="Times New Roman"/>
        </w:rPr>
        <w:t>. Das größte aktuelle Problem ist – neben der nach wie vor offenen Baustelle des Art. 51 Abs.</w:t>
      </w:r>
      <w:r>
        <w:rPr>
          <w:rFonts w:ascii="Times New Roman" w:hAnsi="Times New Roman"/>
        </w:rPr>
        <w:t> </w:t>
      </w:r>
      <w:r w:rsidRPr="00372388">
        <w:rPr>
          <w:rFonts w:ascii="Times New Roman" w:hAnsi="Times New Roman"/>
        </w:rPr>
        <w:t>1 GrCh – die Handhabung der Kompetenzordnung durch den Gerichtshof. In 66 Jahren hat er die Verbandskompetenz der EU 3 1/2 Mal verneint. Das macht ihn nicht zu einem glaubwürd</w:t>
      </w:r>
      <w:r w:rsidRPr="00372388">
        <w:rPr>
          <w:rFonts w:ascii="Times New Roman" w:hAnsi="Times New Roman"/>
        </w:rPr>
        <w:t>i</w:t>
      </w:r>
      <w:r w:rsidRPr="00372388">
        <w:rPr>
          <w:rFonts w:ascii="Times New Roman" w:hAnsi="Times New Roman"/>
        </w:rPr>
        <w:t>gen Schiedsrichter zwischen EU und Mitgliedstaaten.</w:t>
      </w:r>
    </w:p>
  </w:footnote>
  <w:footnote w:id="82">
    <w:p w:rsidR="000640CE" w:rsidRPr="00372388" w:rsidRDefault="000640CE">
      <w:pPr>
        <w:pStyle w:val="Funotentext"/>
        <w:rPr>
          <w:rFonts w:ascii="Times New Roman" w:hAnsi="Times New Roman"/>
          <w:lang w:val="en-US"/>
        </w:rPr>
      </w:pPr>
      <w:r w:rsidRPr="00372388">
        <w:rPr>
          <w:rStyle w:val="Funotenzeichen"/>
          <w:rFonts w:ascii="Times New Roman" w:hAnsi="Times New Roman" w:cs="Times New Roman"/>
        </w:rPr>
        <w:footnoteRef/>
      </w:r>
      <w:r w:rsidRPr="00372388">
        <w:rPr>
          <w:rFonts w:ascii="Times New Roman" w:hAnsi="Times New Roman"/>
        </w:rPr>
        <w:t xml:space="preserve"> Symptomatisch insoweit UK Supreme Court, Urteil vom 22. </w:t>
      </w:r>
      <w:r w:rsidRPr="00372388">
        <w:rPr>
          <w:rFonts w:ascii="Times New Roman" w:hAnsi="Times New Roman"/>
          <w:lang w:val="en-US"/>
        </w:rPr>
        <w:t xml:space="preserve">Januar 2014, R (on the application of HS2 Action Alliance Limited) v. </w:t>
      </w:r>
      <w:proofErr w:type="gramStart"/>
      <w:r w:rsidRPr="00372388">
        <w:rPr>
          <w:rFonts w:ascii="Times New Roman" w:hAnsi="Times New Roman"/>
          <w:lang w:val="en-US"/>
        </w:rPr>
        <w:t>The Secretary of State for Transport, 2014 UKSC 3, Abs.Nr.</w:t>
      </w:r>
      <w:proofErr w:type="gramEnd"/>
      <w:r w:rsidRPr="00372388">
        <w:rPr>
          <w:rFonts w:ascii="Times New Roman" w:hAnsi="Times New Roman"/>
          <w:lang w:val="en-US"/>
        </w:rPr>
        <w:t xml:space="preserve"> </w:t>
      </w:r>
      <w:proofErr w:type="gramStart"/>
      <w:r w:rsidRPr="00372388">
        <w:rPr>
          <w:rFonts w:ascii="Times New Roman" w:hAnsi="Times New Roman"/>
          <w:lang w:val="en-US"/>
        </w:rPr>
        <w:t>79, 207; Urteil vom 25.</w:t>
      </w:r>
      <w:proofErr w:type="gramEnd"/>
      <w:r w:rsidRPr="00372388">
        <w:rPr>
          <w:rFonts w:ascii="Times New Roman" w:hAnsi="Times New Roman"/>
          <w:lang w:val="en-US"/>
        </w:rPr>
        <w:t xml:space="preserve"> </w:t>
      </w:r>
      <w:proofErr w:type="gramStart"/>
      <w:r w:rsidRPr="00372388">
        <w:rPr>
          <w:rFonts w:ascii="Times New Roman" w:hAnsi="Times New Roman"/>
          <w:lang w:val="en-US"/>
        </w:rPr>
        <w:t>März 2015, Pham v. Secretary of State for the Home Department, 2015 UKSC 19, Abs.Nr.</w:t>
      </w:r>
      <w:proofErr w:type="gramEnd"/>
      <w:r w:rsidRPr="00372388">
        <w:rPr>
          <w:rFonts w:ascii="Times New Roman" w:hAnsi="Times New Roman"/>
          <w:lang w:val="en-US"/>
        </w:rPr>
        <w:t xml:space="preserve"> </w:t>
      </w:r>
      <w:proofErr w:type="gramStart"/>
      <w:r w:rsidRPr="00372388">
        <w:rPr>
          <w:rFonts w:ascii="Times New Roman" w:hAnsi="Times New Roman"/>
          <w:lang w:val="en-US"/>
        </w:rPr>
        <w:t>54, 58, 72 bis 92.</w:t>
      </w:r>
      <w:proofErr w:type="gramEnd"/>
    </w:p>
  </w:footnote>
  <w:footnote w:id="83">
    <w:p w:rsidR="000640CE" w:rsidRPr="00372388" w:rsidRDefault="000640CE">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Aus jüngster Zeit BVerfG, Beschluss vom 24. Juli 2017 – 2 BvR 1487/17, juris; Beschluss vom 26. Juli 2017 – 2 BvR 1606/17, juris.</w:t>
      </w:r>
    </w:p>
  </w:footnote>
  <w:footnote w:id="84">
    <w:p w:rsidR="000640CE" w:rsidRPr="00372388" w:rsidRDefault="000640CE">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Dazu schon </w:t>
      </w:r>
      <w:r w:rsidRPr="00372388">
        <w:rPr>
          <w:rFonts w:ascii="Times New Roman" w:hAnsi="Times New Roman"/>
          <w:i/>
        </w:rPr>
        <w:t>T. Pforr</w:t>
      </w:r>
      <w:r w:rsidRPr="00372388">
        <w:rPr>
          <w:rFonts w:ascii="Times New Roman" w:hAnsi="Times New Roman"/>
        </w:rPr>
        <w:t>, Die Allgemeine Unionsaufsicht, 2004.</w:t>
      </w:r>
    </w:p>
  </w:footnote>
  <w:footnote w:id="85">
    <w:p w:rsidR="000640CE" w:rsidRPr="00372388" w:rsidRDefault="000640CE" w:rsidP="00A27BBE">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EuGH, Urteil vom 6. November 2012, Rs. C-286/12, ECLI:EU:C:2012:687 – </w:t>
      </w:r>
      <w:r w:rsidRPr="001D75DC">
        <w:rPr>
          <w:rFonts w:ascii="Times New Roman" w:hAnsi="Times New Roman"/>
          <w:i/>
        </w:rPr>
        <w:t>Kommission/Ungarn</w:t>
      </w:r>
      <w:r w:rsidRPr="00372388">
        <w:rPr>
          <w:rFonts w:ascii="Times New Roman" w:hAnsi="Times New Roman"/>
        </w:rPr>
        <w:t>.</w:t>
      </w:r>
    </w:p>
  </w:footnote>
  <w:footnote w:id="86">
    <w:p w:rsidR="000640CE" w:rsidRPr="00372388" w:rsidRDefault="000640CE">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EuGH, Urteil vom 14. November 2013, Rs. C-4/11, ECLI:EU:C:2013:740 – </w:t>
      </w:r>
      <w:r w:rsidRPr="001D75DC">
        <w:rPr>
          <w:rFonts w:ascii="Times New Roman" w:hAnsi="Times New Roman"/>
          <w:i/>
        </w:rPr>
        <w:t>Puid</w:t>
      </w:r>
      <w:r w:rsidRPr="00372388">
        <w:rPr>
          <w:rFonts w:ascii="Times New Roman" w:hAnsi="Times New Roman"/>
        </w:rPr>
        <w:t xml:space="preserve">, NVwZ 2014, </w:t>
      </w:r>
      <w:r>
        <w:rPr>
          <w:rFonts w:ascii="Times New Roman" w:hAnsi="Times New Roman"/>
        </w:rPr>
        <w:t>S. </w:t>
      </w:r>
      <w:r w:rsidRPr="00372388">
        <w:rPr>
          <w:rFonts w:ascii="Times New Roman" w:hAnsi="Times New Roman"/>
        </w:rPr>
        <w:t>129</w:t>
      </w:r>
      <w:r>
        <w:rPr>
          <w:rFonts w:ascii="Times New Roman" w:hAnsi="Times New Roman"/>
        </w:rPr>
        <w:t> </w:t>
      </w:r>
      <w:r w:rsidRPr="00372388">
        <w:rPr>
          <w:rFonts w:ascii="Times New Roman" w:hAnsi="Times New Roman"/>
        </w:rPr>
        <w:t xml:space="preserve">f. </w:t>
      </w:r>
    </w:p>
  </w:footnote>
  <w:footnote w:id="87">
    <w:p w:rsidR="000640CE" w:rsidRPr="00372388" w:rsidRDefault="000640CE">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Das setzt natürlich voraus, dass derartige Gerichte überhaupt Vorlageersuchen stellen.</w:t>
      </w:r>
    </w:p>
  </w:footnote>
  <w:footnote w:id="88">
    <w:p w:rsidR="000640CE" w:rsidRPr="00372388" w:rsidRDefault="000640CE" w:rsidP="00A27BBE">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EGMR, Urteil vom 27. Mai 2014, Nr. 20261/12 – </w:t>
      </w:r>
      <w:r w:rsidRPr="001D75DC">
        <w:rPr>
          <w:rFonts w:ascii="Times New Roman" w:hAnsi="Times New Roman"/>
          <w:i/>
        </w:rPr>
        <w:t>Baka/Ungarn</w:t>
      </w:r>
      <w:r w:rsidRPr="00372388">
        <w:rPr>
          <w:rFonts w:ascii="Times New Roman" w:hAnsi="Times New Roman"/>
        </w:rPr>
        <w:t>.</w:t>
      </w:r>
    </w:p>
  </w:footnote>
  <w:footnote w:id="89">
    <w:p w:rsidR="000640CE" w:rsidRPr="00372388" w:rsidRDefault="000640CE">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EGMR, Urteil vom 16. September 1996, Nr. 21893/93 – </w:t>
      </w:r>
      <w:r w:rsidRPr="001D75DC">
        <w:rPr>
          <w:rFonts w:ascii="Times New Roman" w:hAnsi="Times New Roman"/>
          <w:i/>
        </w:rPr>
        <w:t>Akdivar u.a./Türkei</w:t>
      </w:r>
      <w:r w:rsidRPr="00372388">
        <w:rPr>
          <w:rFonts w:ascii="Times New Roman" w:hAnsi="Times New Roman"/>
        </w:rPr>
        <w:t>, Rn. 66</w:t>
      </w:r>
      <w:r>
        <w:rPr>
          <w:rFonts w:ascii="Times New Roman" w:hAnsi="Times New Roman"/>
        </w:rPr>
        <w:t> </w:t>
      </w:r>
      <w:r w:rsidRPr="00372388">
        <w:rPr>
          <w:rFonts w:ascii="Times New Roman" w:hAnsi="Times New Roman"/>
        </w:rPr>
        <w:t>f.; Urteil vom 18. D</w:t>
      </w:r>
      <w:r w:rsidRPr="00372388">
        <w:rPr>
          <w:rFonts w:ascii="Times New Roman" w:hAnsi="Times New Roman"/>
        </w:rPr>
        <w:t>e</w:t>
      </w:r>
      <w:r w:rsidRPr="00372388">
        <w:rPr>
          <w:rFonts w:ascii="Times New Roman" w:hAnsi="Times New Roman"/>
        </w:rPr>
        <w:t xml:space="preserve">zember 1996, Nr. 21987/93 – </w:t>
      </w:r>
      <w:r w:rsidRPr="001D75DC">
        <w:rPr>
          <w:rFonts w:ascii="Times New Roman" w:hAnsi="Times New Roman"/>
          <w:i/>
        </w:rPr>
        <w:t>Aksoy/Türkei</w:t>
      </w:r>
      <w:r w:rsidRPr="00372388">
        <w:rPr>
          <w:rFonts w:ascii="Times New Roman" w:hAnsi="Times New Roman"/>
        </w:rPr>
        <w:t xml:space="preserve">, Rn. 52; Urteil vom 19.September 2000, Nr. 33325/96 – </w:t>
      </w:r>
      <w:r w:rsidRPr="001D75DC">
        <w:rPr>
          <w:rFonts w:ascii="Times New Roman" w:hAnsi="Times New Roman"/>
          <w:i/>
        </w:rPr>
        <w:t>Ince u.a./Türkei</w:t>
      </w:r>
      <w:r w:rsidRPr="00372388">
        <w:rPr>
          <w:rFonts w:ascii="Times New Roman" w:hAnsi="Times New Roman"/>
        </w:rPr>
        <w:t xml:space="preserve">; </w:t>
      </w:r>
      <w:r w:rsidRPr="00372388">
        <w:rPr>
          <w:rFonts w:ascii="Times New Roman" w:hAnsi="Times New Roman"/>
          <w:i/>
        </w:rPr>
        <w:t>C. Grabenwarter/K. Pabel</w:t>
      </w:r>
      <w:r w:rsidRPr="00372388">
        <w:rPr>
          <w:rFonts w:ascii="Times New Roman" w:hAnsi="Times New Roman"/>
        </w:rPr>
        <w:t>, Europäische Menschenrechtskonvention, 6. Aufl., 2016, §</w:t>
      </w:r>
      <w:r>
        <w:rPr>
          <w:rFonts w:ascii="Times New Roman" w:hAnsi="Times New Roman"/>
        </w:rPr>
        <w:t> </w:t>
      </w:r>
      <w:r w:rsidRPr="00372388">
        <w:rPr>
          <w:rFonts w:ascii="Times New Roman" w:hAnsi="Times New Roman"/>
        </w:rPr>
        <w:t>13 Rn. 30.</w:t>
      </w:r>
    </w:p>
  </w:footnote>
  <w:footnote w:id="90">
    <w:p w:rsidR="000640CE" w:rsidRPr="00372388" w:rsidRDefault="000640CE">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Verordnung (EU) Nr. 604/2013 des Europäischen Parlaments und des Rates vom 26. Juni 2013 zur Festlegung der Kriterien und Verfahren zur Bestimmung des Mitgliedstaats, der für die Prüfung eines von einem Drittstaat</w:t>
      </w:r>
      <w:r w:rsidRPr="00372388">
        <w:rPr>
          <w:rFonts w:ascii="Times New Roman" w:hAnsi="Times New Roman"/>
        </w:rPr>
        <w:t>s</w:t>
      </w:r>
      <w:r w:rsidRPr="00372388">
        <w:rPr>
          <w:rFonts w:ascii="Times New Roman" w:hAnsi="Times New Roman"/>
        </w:rPr>
        <w:t>angehörigen oder Staatenlosen in einem Mitgliedstaat gestellten Antrags auf internationalen Schutz zuständig ist, ABl. L</w:t>
      </w:r>
      <w:r>
        <w:rPr>
          <w:rFonts w:ascii="Times New Roman" w:hAnsi="Times New Roman"/>
        </w:rPr>
        <w:t> </w:t>
      </w:r>
      <w:r w:rsidRPr="00372388">
        <w:rPr>
          <w:rFonts w:ascii="Times New Roman" w:hAnsi="Times New Roman"/>
        </w:rPr>
        <w:t>180 vom 29.06.2013, S. 31.</w:t>
      </w:r>
    </w:p>
  </w:footnote>
  <w:footnote w:id="91">
    <w:p w:rsidR="000640CE" w:rsidRPr="00372388" w:rsidRDefault="000640CE" w:rsidP="00303D79">
      <w:pPr>
        <w:pStyle w:val="Funotentext"/>
        <w:rPr>
          <w:rFonts w:ascii="Times New Roman" w:hAnsi="Times New Roman"/>
        </w:rPr>
      </w:pPr>
      <w:r w:rsidRPr="00372388">
        <w:rPr>
          <w:rStyle w:val="Funotenzeichen"/>
          <w:rFonts w:ascii="Times New Roman" w:eastAsia="Times New Roman" w:hAnsi="Times New Roman" w:cs="Times New Roman"/>
        </w:rPr>
        <w:footnoteRef/>
      </w:r>
      <w:r w:rsidRPr="00372388">
        <w:rPr>
          <w:rStyle w:val="Funotenzeichen"/>
          <w:rFonts w:ascii="Times New Roman" w:eastAsia="Times New Roman" w:hAnsi="Times New Roman" w:cs="Times New Roman"/>
        </w:rPr>
        <w:t xml:space="preserve"> </w:t>
      </w:r>
      <w:r w:rsidRPr="00372388">
        <w:rPr>
          <w:rFonts w:ascii="Times New Roman" w:hAnsi="Times New Roman"/>
        </w:rPr>
        <w:t xml:space="preserve">Zur Rolle der Mitarbeiter, </w:t>
      </w:r>
      <w:r w:rsidRPr="00372388">
        <w:rPr>
          <w:rFonts w:ascii="Times New Roman" w:hAnsi="Times New Roman"/>
          <w:i/>
        </w:rPr>
        <w:t>M. Bobek</w:t>
      </w:r>
      <w:r w:rsidRPr="00372388">
        <w:rPr>
          <w:rFonts w:ascii="Times New Roman" w:hAnsi="Times New Roman"/>
        </w:rPr>
        <w:t xml:space="preserve">, Comparative </w:t>
      </w:r>
      <w:r>
        <w:rPr>
          <w:rFonts w:ascii="Times New Roman" w:hAnsi="Times New Roman"/>
        </w:rPr>
        <w:t>R</w:t>
      </w:r>
      <w:r w:rsidRPr="00372388">
        <w:rPr>
          <w:rFonts w:ascii="Times New Roman" w:hAnsi="Times New Roman"/>
        </w:rPr>
        <w:t xml:space="preserve">easoning in European </w:t>
      </w:r>
      <w:r>
        <w:rPr>
          <w:rFonts w:ascii="Times New Roman" w:hAnsi="Times New Roman"/>
        </w:rPr>
        <w:t>S</w:t>
      </w:r>
      <w:r w:rsidRPr="00372388">
        <w:rPr>
          <w:rFonts w:ascii="Times New Roman" w:hAnsi="Times New Roman"/>
        </w:rPr>
        <w:t xml:space="preserve">upreme </w:t>
      </w:r>
      <w:r>
        <w:rPr>
          <w:rFonts w:ascii="Times New Roman" w:hAnsi="Times New Roman"/>
        </w:rPr>
        <w:t>C</w:t>
      </w:r>
      <w:r w:rsidRPr="00372388">
        <w:rPr>
          <w:rFonts w:ascii="Times New Roman" w:hAnsi="Times New Roman"/>
        </w:rPr>
        <w:t>ourts, 2013, S. 46</w:t>
      </w:r>
      <w:r>
        <w:rPr>
          <w:rFonts w:ascii="Times New Roman" w:hAnsi="Times New Roman"/>
        </w:rPr>
        <w:t> </w:t>
      </w:r>
      <w:r w:rsidRPr="00372388">
        <w:rPr>
          <w:rFonts w:ascii="Times New Roman" w:hAnsi="Times New Roman"/>
        </w:rPr>
        <w:t>ff.</w:t>
      </w:r>
    </w:p>
  </w:footnote>
  <w:footnote w:id="92">
    <w:p w:rsidR="000640CE" w:rsidRPr="00372388" w:rsidRDefault="000640CE" w:rsidP="00303D79">
      <w:pPr>
        <w:pStyle w:val="Funotentext"/>
        <w:rPr>
          <w:rFonts w:ascii="Times New Roman" w:hAnsi="Times New Roman"/>
        </w:rPr>
      </w:pPr>
      <w:r w:rsidRPr="00372388">
        <w:rPr>
          <w:rStyle w:val="Funotenzeichen"/>
          <w:rFonts w:ascii="Times New Roman" w:eastAsia="Times New Roman" w:hAnsi="Times New Roman" w:cs="Times New Roman"/>
        </w:rPr>
        <w:footnoteRef/>
      </w:r>
      <w:r w:rsidRPr="00372388">
        <w:rPr>
          <w:rFonts w:ascii="Times New Roman" w:hAnsi="Times New Roman"/>
        </w:rPr>
        <w:t xml:space="preserve"> </w:t>
      </w:r>
      <w:r w:rsidRPr="00372388">
        <w:rPr>
          <w:rFonts w:ascii="Times New Roman" w:hAnsi="Times New Roman"/>
          <w:i/>
        </w:rPr>
        <w:t>C. Grabenwarter</w:t>
      </w:r>
      <w:r w:rsidRPr="00372388">
        <w:rPr>
          <w:rFonts w:ascii="Times New Roman" w:hAnsi="Times New Roman"/>
        </w:rPr>
        <w:t>, Die Kooperation der Verfassungsgerichte in Europa – Aktuelle Rahmenbedingungen und Perspektiven, Generalbericht, in: Verfassungsgerichtshof der Republik Österreich</w:t>
      </w:r>
      <w:r>
        <w:rPr>
          <w:rFonts w:ascii="Times New Roman" w:hAnsi="Times New Roman"/>
        </w:rPr>
        <w:t xml:space="preserve"> (Hrsg.),</w:t>
      </w:r>
      <w:r w:rsidRPr="00372388">
        <w:rPr>
          <w:rFonts w:ascii="Times New Roman" w:hAnsi="Times New Roman"/>
        </w:rPr>
        <w:t xml:space="preserve"> Die Kooperation der Verfassungsgerichte in Europa, Band I, 2014, S.</w:t>
      </w:r>
      <w:r>
        <w:rPr>
          <w:rFonts w:ascii="Times New Roman" w:hAnsi="Times New Roman"/>
        </w:rPr>
        <w:t> </w:t>
      </w:r>
      <w:r w:rsidRPr="00372388">
        <w:rPr>
          <w:rFonts w:ascii="Times New Roman" w:hAnsi="Times New Roman"/>
        </w:rPr>
        <w:t xml:space="preserve">61 (87); Näher </w:t>
      </w:r>
      <w:r w:rsidRPr="00372388">
        <w:rPr>
          <w:rFonts w:ascii="Times New Roman" w:hAnsi="Times New Roman"/>
          <w:i/>
        </w:rPr>
        <w:t>M. Claes/M. de Visser</w:t>
      </w:r>
      <w:r w:rsidRPr="00372388">
        <w:rPr>
          <w:rFonts w:ascii="Times New Roman" w:hAnsi="Times New Roman"/>
        </w:rPr>
        <w:t>, Courts United?: on E</w:t>
      </w:r>
      <w:r w:rsidRPr="00372388">
        <w:rPr>
          <w:rFonts w:ascii="Times New Roman" w:hAnsi="Times New Roman"/>
        </w:rPr>
        <w:t>u</w:t>
      </w:r>
      <w:r w:rsidRPr="00372388">
        <w:rPr>
          <w:rFonts w:ascii="Times New Roman" w:hAnsi="Times New Roman"/>
        </w:rPr>
        <w:t>ropean Judicial Networks, in: Vauchez/de Witte (H</w:t>
      </w:r>
      <w:r>
        <w:rPr>
          <w:rFonts w:ascii="Times New Roman" w:hAnsi="Times New Roman"/>
        </w:rPr>
        <w:t>rs</w:t>
      </w:r>
      <w:r w:rsidRPr="00372388">
        <w:rPr>
          <w:rFonts w:ascii="Times New Roman" w:hAnsi="Times New Roman"/>
        </w:rPr>
        <w:t xml:space="preserve">g.), Lawyering </w:t>
      </w:r>
      <w:r w:rsidRPr="00260FED">
        <w:rPr>
          <w:rFonts w:ascii="Times New Roman" w:hAnsi="Times New Roman"/>
        </w:rPr>
        <w:t>Europe, Oxford/Portland</w:t>
      </w:r>
      <w:r>
        <w:rPr>
          <w:rFonts w:ascii="Times New Roman" w:hAnsi="Times New Roman"/>
        </w:rPr>
        <w:t xml:space="preserve"> </w:t>
      </w:r>
      <w:r w:rsidRPr="00372388">
        <w:rPr>
          <w:rFonts w:ascii="Times New Roman" w:hAnsi="Times New Roman"/>
        </w:rPr>
        <w:t>2013, S. 75.</w:t>
      </w:r>
    </w:p>
  </w:footnote>
  <w:footnote w:id="93">
    <w:p w:rsidR="000640CE" w:rsidRPr="00372388" w:rsidRDefault="000640CE" w:rsidP="00303D79">
      <w:pPr>
        <w:pStyle w:val="Funotentext"/>
        <w:rPr>
          <w:rFonts w:ascii="Times New Roman" w:hAnsi="Times New Roman"/>
          <w:lang w:val="en-US"/>
        </w:rPr>
      </w:pPr>
      <w:r w:rsidRPr="00372388">
        <w:rPr>
          <w:rStyle w:val="Funotenzeichen"/>
          <w:rFonts w:ascii="Times New Roman" w:eastAsia="Times New Roman" w:hAnsi="Times New Roman" w:cs="Times New Roman"/>
        </w:rPr>
        <w:footnoteRef/>
      </w:r>
      <w:r w:rsidRPr="00372388">
        <w:rPr>
          <w:rFonts w:ascii="Times New Roman" w:hAnsi="Times New Roman"/>
          <w:i/>
          <w:lang w:val="it-IT"/>
        </w:rPr>
        <w:t xml:space="preserve"> S. Cassese</w:t>
      </w:r>
      <w:r w:rsidRPr="00372388">
        <w:rPr>
          <w:rFonts w:ascii="Times New Roman" w:hAnsi="Times New Roman"/>
          <w:lang w:val="it-IT"/>
        </w:rPr>
        <w:t>, Dentro la Corte. Diario di un Giudice Costituzionale, il mulino, Bologna, 2015, S. 248-249</w:t>
      </w:r>
      <w:r w:rsidRPr="00372388">
        <w:rPr>
          <w:rFonts w:ascii="Times New Roman" w:hAnsi="Times New Roman"/>
          <w:i/>
          <w:lang w:val="it-IT"/>
        </w:rPr>
        <w:t>; P.</w:t>
      </w:r>
      <w:r>
        <w:rPr>
          <w:rFonts w:ascii="Times New Roman" w:hAnsi="Times New Roman"/>
          <w:i/>
          <w:lang w:val="it-IT"/>
        </w:rPr>
        <w:t> </w:t>
      </w:r>
      <w:r w:rsidRPr="00372388">
        <w:rPr>
          <w:rFonts w:ascii="Times New Roman" w:hAnsi="Times New Roman"/>
          <w:i/>
          <w:lang w:val="it-IT"/>
        </w:rPr>
        <w:t>M.</w:t>
      </w:r>
      <w:r>
        <w:rPr>
          <w:rFonts w:ascii="Times New Roman" w:hAnsi="Times New Roman"/>
          <w:i/>
          <w:lang w:val="it-IT"/>
        </w:rPr>
        <w:t> </w:t>
      </w:r>
      <w:r w:rsidRPr="00372388">
        <w:rPr>
          <w:rFonts w:ascii="Times New Roman" w:hAnsi="Times New Roman"/>
          <w:i/>
          <w:lang w:val="it-IT"/>
        </w:rPr>
        <w:t>Huber</w:t>
      </w:r>
      <w:r w:rsidRPr="00372388">
        <w:rPr>
          <w:rFonts w:ascii="Times New Roman" w:hAnsi="Times New Roman"/>
          <w:lang w:val="it-IT"/>
        </w:rPr>
        <w:t>, Verfassungsstaat und Finanzkrise, 2014, S.</w:t>
      </w:r>
      <w:r>
        <w:rPr>
          <w:rFonts w:ascii="Times New Roman" w:hAnsi="Times New Roman"/>
          <w:lang w:val="it-IT"/>
        </w:rPr>
        <w:t> </w:t>
      </w:r>
      <w:r w:rsidRPr="00372388">
        <w:rPr>
          <w:rFonts w:ascii="Times New Roman" w:hAnsi="Times New Roman"/>
          <w:lang w:val="it-IT"/>
        </w:rPr>
        <w:t xml:space="preserve">68; </w:t>
      </w:r>
      <w:r w:rsidRPr="00372388">
        <w:rPr>
          <w:rFonts w:ascii="Times New Roman" w:hAnsi="Times New Roman"/>
          <w:i/>
          <w:lang w:val="it-IT"/>
        </w:rPr>
        <w:t>S.</w:t>
      </w:r>
      <w:r>
        <w:rPr>
          <w:rFonts w:ascii="Times New Roman" w:hAnsi="Times New Roman"/>
          <w:i/>
          <w:lang w:val="it-IT"/>
        </w:rPr>
        <w:t> </w:t>
      </w:r>
      <w:r w:rsidRPr="00372388">
        <w:rPr>
          <w:rFonts w:ascii="Times New Roman" w:hAnsi="Times New Roman"/>
          <w:i/>
          <w:lang w:val="it-IT"/>
        </w:rPr>
        <w:t>Martini</w:t>
      </w:r>
      <w:r w:rsidRPr="00372388">
        <w:rPr>
          <w:rFonts w:ascii="Times New Roman" w:hAnsi="Times New Roman"/>
          <w:lang w:val="it-IT"/>
        </w:rPr>
        <w:t xml:space="preserve">, Lifting the Constitutional Curtain? </w:t>
      </w:r>
      <w:r w:rsidRPr="00372388">
        <w:rPr>
          <w:rFonts w:ascii="Times New Roman" w:hAnsi="Times New Roman"/>
          <w:lang w:val="en-US"/>
        </w:rPr>
        <w:t>The Use of Foreign Precedent by the German Federal Constitutional Court, in: Groppi/Ponthoreau (H</w:t>
      </w:r>
      <w:r>
        <w:rPr>
          <w:rFonts w:ascii="Times New Roman" w:hAnsi="Times New Roman"/>
          <w:lang w:val="en-US"/>
        </w:rPr>
        <w:t>rs</w:t>
      </w:r>
      <w:r w:rsidRPr="00372388">
        <w:rPr>
          <w:rFonts w:ascii="Times New Roman" w:hAnsi="Times New Roman"/>
          <w:lang w:val="en-US"/>
        </w:rPr>
        <w:t xml:space="preserve">g.), </w:t>
      </w:r>
      <w:proofErr w:type="gramStart"/>
      <w:r w:rsidRPr="00372388">
        <w:rPr>
          <w:rFonts w:ascii="Times New Roman" w:hAnsi="Times New Roman"/>
          <w:lang w:val="en-US"/>
        </w:rPr>
        <w:t>The</w:t>
      </w:r>
      <w:proofErr w:type="gramEnd"/>
      <w:r w:rsidRPr="00372388">
        <w:rPr>
          <w:rFonts w:ascii="Times New Roman" w:hAnsi="Times New Roman"/>
          <w:lang w:val="en-US"/>
        </w:rPr>
        <w:t xml:space="preserve"> Use of Foreign Precedents by Constitutional Judges, </w:t>
      </w:r>
      <w:r>
        <w:rPr>
          <w:rFonts w:ascii="Times New Roman" w:hAnsi="Times New Roman"/>
          <w:lang w:val="en-US"/>
        </w:rPr>
        <w:t xml:space="preserve">Oxford </w:t>
      </w:r>
      <w:r w:rsidRPr="00372388">
        <w:rPr>
          <w:rFonts w:ascii="Times New Roman" w:hAnsi="Times New Roman"/>
          <w:lang w:val="en-US"/>
        </w:rPr>
        <w:t>2013, S. 229, 252.</w:t>
      </w:r>
    </w:p>
  </w:footnote>
  <w:footnote w:id="94">
    <w:p w:rsidR="000640CE" w:rsidRPr="00372388" w:rsidRDefault="000640CE" w:rsidP="007B09F6">
      <w:pPr>
        <w:pStyle w:val="Funotentext"/>
        <w:rPr>
          <w:rFonts w:ascii="Times New Roman" w:hAnsi="Times New Roman"/>
        </w:rPr>
      </w:pPr>
      <w:r w:rsidRPr="00372388">
        <w:rPr>
          <w:rStyle w:val="Funotenzeichen"/>
          <w:rFonts w:ascii="Times New Roman" w:eastAsia="Times New Roman" w:hAnsi="Times New Roman" w:cs="Times New Roman"/>
        </w:rPr>
        <w:footnoteRef/>
      </w:r>
      <w:r w:rsidRPr="00372388">
        <w:rPr>
          <w:rFonts w:ascii="Times New Roman" w:hAnsi="Times New Roman"/>
          <w:i/>
        </w:rPr>
        <w:t xml:space="preserve"> C. Grabenwarter</w:t>
      </w:r>
      <w:r w:rsidRPr="00372388">
        <w:rPr>
          <w:rFonts w:ascii="Times New Roman" w:hAnsi="Times New Roman"/>
        </w:rPr>
        <w:t>, Zusammenfassung der Ergebnisse der vorangegangenen Sitzungen für den XVI. Kongress der Konferenz der Europäischen Verfassungsgerichte, in: Verfassungsgerichtshof der Republik Österreich (</w:t>
      </w:r>
      <w:r>
        <w:rPr>
          <w:rFonts w:ascii="Times New Roman" w:hAnsi="Times New Roman"/>
        </w:rPr>
        <w:t>Fn</w:t>
      </w:r>
      <w:r w:rsidRPr="00372388">
        <w:rPr>
          <w:rFonts w:ascii="Times New Roman" w:hAnsi="Times New Roman"/>
        </w:rPr>
        <w:t>.</w:t>
      </w:r>
      <w:r>
        <w:rPr>
          <w:rFonts w:ascii="Times New Roman" w:hAnsi="Times New Roman"/>
        </w:rPr>
        <w:t xml:space="preserve"> 92</w:t>
      </w:r>
      <w:r w:rsidRPr="00372388">
        <w:rPr>
          <w:rFonts w:ascii="Times New Roman" w:hAnsi="Times New Roman"/>
        </w:rPr>
        <w:t>), S.</w:t>
      </w:r>
      <w:r>
        <w:rPr>
          <w:rFonts w:ascii="Times New Roman" w:hAnsi="Times New Roman"/>
        </w:rPr>
        <w:t> </w:t>
      </w:r>
      <w:r w:rsidRPr="00372388">
        <w:rPr>
          <w:rFonts w:ascii="Times New Roman" w:hAnsi="Times New Roman"/>
        </w:rPr>
        <w:t xml:space="preserve">174. </w:t>
      </w:r>
    </w:p>
  </w:footnote>
  <w:footnote w:id="95">
    <w:p w:rsidR="000640CE" w:rsidRPr="00372388" w:rsidRDefault="000640CE">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Dazu </w:t>
      </w:r>
      <w:r w:rsidRPr="00372388">
        <w:rPr>
          <w:rFonts w:ascii="Times New Roman" w:hAnsi="Times New Roman"/>
          <w:i/>
        </w:rPr>
        <w:t>v. Bogdandy/Grabenwarter/Huber</w:t>
      </w:r>
      <w:r w:rsidRPr="00372388">
        <w:rPr>
          <w:rFonts w:ascii="Times New Roman" w:hAnsi="Times New Roman"/>
        </w:rPr>
        <w:t xml:space="preserve"> (Fn. 79), § 95 Rn. 14 ff.</w:t>
      </w:r>
    </w:p>
  </w:footnote>
  <w:footnote w:id="96">
    <w:p w:rsidR="000640CE" w:rsidRPr="00D00EED" w:rsidRDefault="000640CE" w:rsidP="00F320DF">
      <w:pPr>
        <w:pStyle w:val="Funotentext"/>
        <w:rPr>
          <w:rFonts w:ascii="Times New Roman" w:hAnsi="Times New Roman"/>
        </w:rPr>
      </w:pPr>
      <w:r w:rsidRPr="00372388">
        <w:rPr>
          <w:rStyle w:val="Funotenzeichen"/>
          <w:rFonts w:ascii="Times New Roman" w:eastAsia="Times New Roman" w:hAnsi="Times New Roman" w:cs="Times New Roman"/>
        </w:rPr>
        <w:footnoteRef/>
      </w:r>
      <w:r w:rsidRPr="00D00EED">
        <w:rPr>
          <w:rFonts w:ascii="Times New Roman" w:hAnsi="Times New Roman"/>
          <w:i/>
        </w:rPr>
        <w:t xml:space="preserve"> Sólyom</w:t>
      </w:r>
      <w:r w:rsidRPr="00D00EED">
        <w:rPr>
          <w:rFonts w:ascii="Times New Roman" w:hAnsi="Times New Roman"/>
        </w:rPr>
        <w:t xml:space="preserve"> (Fn. 6), § 107 Rn. 11. </w:t>
      </w:r>
    </w:p>
  </w:footnote>
  <w:footnote w:id="97">
    <w:p w:rsidR="000640CE" w:rsidRPr="00372388" w:rsidRDefault="000640CE">
      <w:pPr>
        <w:pStyle w:val="Funotentext"/>
        <w:rPr>
          <w:rFonts w:ascii="Times New Roman" w:hAnsi="Times New Roman"/>
        </w:rPr>
      </w:pPr>
      <w:r w:rsidRPr="00372388">
        <w:rPr>
          <w:rStyle w:val="Funotenzeichen"/>
          <w:rFonts w:ascii="Times New Roman" w:hAnsi="Times New Roman" w:cs="Times New Roman"/>
        </w:rPr>
        <w:footnoteRef/>
      </w:r>
      <w:r w:rsidRPr="00D00EED">
        <w:rPr>
          <w:rFonts w:ascii="Times New Roman" w:hAnsi="Times New Roman"/>
        </w:rPr>
        <w:t xml:space="preserve"> </w:t>
      </w:r>
      <w:r w:rsidRPr="00D00EED">
        <w:rPr>
          <w:rFonts w:ascii="Times New Roman" w:hAnsi="Times New Roman"/>
          <w:i/>
        </w:rPr>
        <w:t>v. Bogdandy/</w:t>
      </w:r>
      <w:r w:rsidRPr="00372388">
        <w:rPr>
          <w:rFonts w:ascii="Times New Roman" w:hAnsi="Times New Roman"/>
          <w:i/>
        </w:rPr>
        <w:t>Grabenwarter/Huber</w:t>
      </w:r>
      <w:r w:rsidRPr="00372388">
        <w:rPr>
          <w:rFonts w:ascii="Times New Roman" w:hAnsi="Times New Roman"/>
        </w:rPr>
        <w:t xml:space="preserve"> (Fn. 79), § 95 Rn. 22.</w:t>
      </w:r>
    </w:p>
  </w:footnote>
  <w:footnote w:id="98">
    <w:p w:rsidR="000640CE" w:rsidRPr="00372388" w:rsidRDefault="000640CE" w:rsidP="00F320DF">
      <w:pPr>
        <w:pStyle w:val="Funotentext"/>
        <w:rPr>
          <w:rFonts w:ascii="Times New Roman" w:hAnsi="Times New Roman"/>
        </w:rPr>
      </w:pPr>
      <w:r w:rsidRPr="00372388">
        <w:rPr>
          <w:rStyle w:val="Funotenzeichen"/>
          <w:rFonts w:ascii="Times New Roman" w:eastAsia="Times New Roman" w:hAnsi="Times New Roman" w:cs="Times New Roman"/>
        </w:rPr>
        <w:footnoteRef/>
      </w:r>
      <w:r w:rsidRPr="00372388">
        <w:rPr>
          <w:rFonts w:ascii="Times New Roman" w:hAnsi="Times New Roman"/>
        </w:rPr>
        <w:t xml:space="preserve"> </w:t>
      </w:r>
      <w:r>
        <w:rPr>
          <w:rFonts w:ascii="Times New Roman" w:hAnsi="Times New Roman"/>
          <w:i/>
        </w:rPr>
        <w:t xml:space="preserve">v. </w:t>
      </w:r>
      <w:r w:rsidRPr="00372388">
        <w:rPr>
          <w:rFonts w:ascii="Times New Roman" w:hAnsi="Times New Roman"/>
          <w:i/>
        </w:rPr>
        <w:t>Bogdandy/Grabenwarter/Huber</w:t>
      </w:r>
      <w:r>
        <w:rPr>
          <w:rFonts w:ascii="Times New Roman" w:hAnsi="Times New Roman"/>
        </w:rPr>
        <w:t>, ebd.</w:t>
      </w:r>
      <w:r w:rsidRPr="00372388">
        <w:rPr>
          <w:rFonts w:ascii="Times New Roman" w:hAnsi="Times New Roman"/>
        </w:rPr>
        <w:t>, § 95 Rn. 23 m.w.N.</w:t>
      </w:r>
    </w:p>
  </w:footnote>
  <w:footnote w:id="99">
    <w:p w:rsidR="000640CE" w:rsidRPr="00372388" w:rsidRDefault="000640CE" w:rsidP="00C24D00">
      <w:pPr>
        <w:pStyle w:val="Funotentext"/>
        <w:rPr>
          <w:rFonts w:ascii="Times New Roman" w:hAnsi="Times New Roman"/>
        </w:rPr>
      </w:pPr>
      <w:r w:rsidRPr="00372388">
        <w:rPr>
          <w:rStyle w:val="Funotenzeichen"/>
          <w:rFonts w:ascii="Times New Roman" w:eastAsia="Times New Roman" w:hAnsi="Times New Roman" w:cs="Times New Roman"/>
        </w:rPr>
        <w:footnoteRef/>
      </w:r>
      <w:r w:rsidRPr="00372388">
        <w:rPr>
          <w:rStyle w:val="Funotenzeichen"/>
          <w:rFonts w:ascii="Times New Roman" w:eastAsia="Times New Roman" w:hAnsi="Times New Roman" w:cs="Times New Roman"/>
        </w:rPr>
        <w:t xml:space="preserve"> </w:t>
      </w:r>
      <w:r w:rsidRPr="00372388">
        <w:rPr>
          <w:rFonts w:ascii="Times New Roman" w:hAnsi="Times New Roman"/>
          <w:i/>
        </w:rPr>
        <w:t>H. J. Papier</w:t>
      </w:r>
      <w:r w:rsidRPr="00372388">
        <w:rPr>
          <w:rFonts w:ascii="Times New Roman" w:hAnsi="Times New Roman"/>
        </w:rPr>
        <w:t>, Erstes Arbeitstreffen deutschsprachiger Verfassungsgerichte und europäischer Gerichte, EuGRZ 17-18 (2006), S. 481.</w:t>
      </w:r>
    </w:p>
  </w:footnote>
  <w:footnote w:id="100">
    <w:p w:rsidR="000640CE" w:rsidRPr="00372388" w:rsidRDefault="000640CE" w:rsidP="00C24D00">
      <w:pPr>
        <w:pStyle w:val="Funotentext"/>
        <w:rPr>
          <w:rFonts w:ascii="Times New Roman" w:hAnsi="Times New Roman"/>
        </w:rPr>
      </w:pPr>
      <w:r w:rsidRPr="00372388">
        <w:rPr>
          <w:rStyle w:val="Funotenzeichen"/>
          <w:rFonts w:ascii="Times New Roman" w:eastAsia="Times New Roman" w:hAnsi="Times New Roman" w:cs="Times New Roman"/>
        </w:rPr>
        <w:footnoteRef/>
      </w:r>
      <w:r w:rsidRPr="00372388">
        <w:rPr>
          <w:rFonts w:ascii="Times New Roman" w:hAnsi="Times New Roman"/>
        </w:rPr>
        <w:t xml:space="preserve"> http://www.cortecostituzionale.it/ActionPagina_199.do. </w:t>
      </w:r>
    </w:p>
  </w:footnote>
  <w:footnote w:id="101">
    <w:p w:rsidR="000640CE" w:rsidRPr="00372388" w:rsidRDefault="000640CE" w:rsidP="00303D79">
      <w:pPr>
        <w:pStyle w:val="Funotentext"/>
        <w:rPr>
          <w:rFonts w:ascii="Times New Roman" w:hAnsi="Times New Roman"/>
          <w:lang w:val="en-US"/>
        </w:rPr>
      </w:pPr>
      <w:r w:rsidRPr="00372388">
        <w:rPr>
          <w:rStyle w:val="Funotenzeichen"/>
          <w:rFonts w:ascii="Times New Roman" w:eastAsia="Times New Roman" w:hAnsi="Times New Roman" w:cs="Times New Roman"/>
        </w:rPr>
        <w:footnoteRef/>
      </w:r>
      <w:r w:rsidRPr="00372388">
        <w:rPr>
          <w:rFonts w:ascii="Times New Roman" w:hAnsi="Times New Roman"/>
          <w:i/>
          <w:lang w:val="en-US"/>
        </w:rPr>
        <w:t xml:space="preserve"> N. Huls</w:t>
      </w:r>
      <w:r w:rsidRPr="00372388">
        <w:rPr>
          <w:rFonts w:ascii="Times New Roman" w:hAnsi="Times New Roman"/>
          <w:lang w:val="en-US"/>
        </w:rPr>
        <w:t xml:space="preserve">, </w:t>
      </w:r>
      <w:proofErr w:type="gramStart"/>
      <w:r w:rsidRPr="00372388">
        <w:rPr>
          <w:rFonts w:ascii="Times New Roman" w:hAnsi="Times New Roman"/>
          <w:lang w:val="en-US"/>
        </w:rPr>
        <w:t>The</w:t>
      </w:r>
      <w:proofErr w:type="gramEnd"/>
      <w:r w:rsidRPr="00372388">
        <w:rPr>
          <w:rFonts w:ascii="Times New Roman" w:hAnsi="Times New Roman"/>
          <w:lang w:val="en-US"/>
        </w:rPr>
        <w:t xml:space="preserve"> Ebb and Flow of Judicial Leadership in the Netherlands, Utrecht Law Review 8 (2012), S. 129.</w:t>
      </w:r>
    </w:p>
  </w:footnote>
  <w:footnote w:id="102">
    <w:p w:rsidR="000640CE" w:rsidRPr="00372388" w:rsidRDefault="000640CE" w:rsidP="00303D79">
      <w:pPr>
        <w:pStyle w:val="Funotentext"/>
        <w:rPr>
          <w:rFonts w:ascii="Times New Roman" w:hAnsi="Times New Roman"/>
        </w:rPr>
      </w:pPr>
      <w:r w:rsidRPr="00372388">
        <w:rPr>
          <w:rStyle w:val="Funotenzeichen"/>
          <w:rFonts w:ascii="Times New Roman" w:eastAsia="Times New Roman" w:hAnsi="Times New Roman" w:cs="Times New Roman"/>
        </w:rPr>
        <w:footnoteRef/>
      </w:r>
      <w:r w:rsidRPr="00372388">
        <w:rPr>
          <w:rFonts w:ascii="Times New Roman" w:hAnsi="Times New Roman"/>
        </w:rPr>
        <w:t xml:space="preserve"> Vgl. nur </w:t>
      </w:r>
      <w:r w:rsidRPr="00372388">
        <w:rPr>
          <w:rFonts w:ascii="Times New Roman" w:hAnsi="Times New Roman"/>
          <w:i/>
        </w:rPr>
        <w:t>P. Häberle</w:t>
      </w:r>
      <w:r w:rsidRPr="00372388">
        <w:rPr>
          <w:rFonts w:ascii="Times New Roman" w:hAnsi="Times New Roman"/>
        </w:rPr>
        <w:t>, Europäische Verfassungslehre, 2009, S. 104-111.</w:t>
      </w:r>
    </w:p>
  </w:footnote>
  <w:footnote w:id="103">
    <w:p w:rsidR="000640CE" w:rsidRPr="00372388" w:rsidRDefault="000640CE" w:rsidP="00303D79">
      <w:pPr>
        <w:pStyle w:val="Funotentext"/>
        <w:rPr>
          <w:rFonts w:ascii="Times New Roman" w:hAnsi="Times New Roman"/>
        </w:rPr>
      </w:pPr>
      <w:r w:rsidRPr="00372388">
        <w:rPr>
          <w:rStyle w:val="Funotenzeichen"/>
          <w:rFonts w:ascii="Times New Roman" w:eastAsia="Times New Roman" w:hAnsi="Times New Roman" w:cs="Times New Roman"/>
        </w:rPr>
        <w:footnoteRef/>
      </w:r>
      <w:r w:rsidRPr="00372388">
        <w:rPr>
          <w:rFonts w:ascii="Times New Roman" w:hAnsi="Times New Roman"/>
        </w:rPr>
        <w:t xml:space="preserve"> </w:t>
      </w:r>
      <w:r w:rsidRPr="00372388">
        <w:rPr>
          <w:rFonts w:ascii="Times New Roman" w:hAnsi="Times New Roman"/>
          <w:i/>
        </w:rPr>
        <w:t>v. Bogdandy/Grabenwarter/Huber</w:t>
      </w:r>
      <w:r w:rsidRPr="00372388">
        <w:rPr>
          <w:rFonts w:ascii="Times New Roman" w:hAnsi="Times New Roman"/>
        </w:rPr>
        <w:t xml:space="preserve"> (Fn. 79), § 95 Rn. 20, unter Hinweis auf </w:t>
      </w:r>
      <w:r w:rsidRPr="00372388">
        <w:rPr>
          <w:rFonts w:ascii="Times New Roman" w:hAnsi="Times New Roman"/>
          <w:i/>
        </w:rPr>
        <w:t>T. Eagleton</w:t>
      </w:r>
      <w:r w:rsidRPr="00372388">
        <w:rPr>
          <w:rFonts w:ascii="Times New Roman" w:hAnsi="Times New Roman"/>
        </w:rPr>
        <w:t>, Was ist Kultur</w:t>
      </w:r>
      <w:proofErr w:type="gramStart"/>
      <w:r w:rsidRPr="00372388">
        <w:rPr>
          <w:rFonts w:ascii="Times New Roman" w:hAnsi="Times New Roman"/>
        </w:rPr>
        <w:t>?,</w:t>
      </w:r>
      <w:proofErr w:type="gramEnd"/>
      <w:r w:rsidRPr="00372388">
        <w:rPr>
          <w:rFonts w:ascii="Times New Roman" w:hAnsi="Times New Roman"/>
        </w:rPr>
        <w:t xml:space="preserve"> 2001.</w:t>
      </w:r>
    </w:p>
  </w:footnote>
  <w:footnote w:id="104">
    <w:p w:rsidR="000640CE" w:rsidRPr="00372388" w:rsidRDefault="000640CE" w:rsidP="00384AF4">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Dazu </w:t>
      </w:r>
      <w:r w:rsidRPr="00372388">
        <w:rPr>
          <w:rFonts w:ascii="Times New Roman" w:hAnsi="Times New Roman"/>
          <w:i/>
        </w:rPr>
        <w:t>Voßkuhle</w:t>
      </w:r>
      <w:r>
        <w:rPr>
          <w:rFonts w:ascii="Times New Roman" w:hAnsi="Times New Roman"/>
        </w:rPr>
        <w:t xml:space="preserve"> (Fn. 16)</w:t>
      </w:r>
      <w:r w:rsidRPr="00372388">
        <w:rPr>
          <w:rFonts w:ascii="Times New Roman" w:hAnsi="Times New Roman"/>
        </w:rPr>
        <w:t>, Umbr. S. 6 f.</w:t>
      </w:r>
    </w:p>
  </w:footnote>
  <w:footnote w:id="105">
    <w:p w:rsidR="000640CE" w:rsidRPr="00372388" w:rsidRDefault="000640CE" w:rsidP="00E60030">
      <w:pPr>
        <w:pStyle w:val="Funotentext"/>
        <w:rPr>
          <w:rFonts w:ascii="Times New Roman" w:hAnsi="Times New Roman"/>
          <w:lang w:val="en-US"/>
        </w:rPr>
      </w:pPr>
      <w:r w:rsidRPr="00372388">
        <w:rPr>
          <w:rStyle w:val="Funotenzeichen"/>
          <w:rFonts w:ascii="Times New Roman" w:hAnsi="Times New Roman" w:cs="Times New Roman"/>
        </w:rPr>
        <w:footnoteRef/>
      </w:r>
      <w:r w:rsidRPr="00372388">
        <w:rPr>
          <w:rFonts w:ascii="Times New Roman" w:hAnsi="Times New Roman"/>
          <w:lang w:val="en-US"/>
        </w:rPr>
        <w:t xml:space="preserve"> </w:t>
      </w:r>
      <w:r w:rsidRPr="00372388">
        <w:rPr>
          <w:rFonts w:ascii="Times New Roman" w:hAnsi="Times New Roman"/>
          <w:i/>
          <w:lang w:val="en-US"/>
        </w:rPr>
        <w:t>S. Cassese</w:t>
      </w:r>
      <w:r w:rsidRPr="00372388">
        <w:rPr>
          <w:rFonts w:ascii="Times New Roman" w:hAnsi="Times New Roman"/>
          <w:lang w:val="en-US"/>
        </w:rPr>
        <w:t xml:space="preserve">, Dentro La Corte. Diario di </w:t>
      </w:r>
      <w:proofErr w:type="gramStart"/>
      <w:r w:rsidRPr="00372388">
        <w:rPr>
          <w:rFonts w:ascii="Times New Roman" w:hAnsi="Times New Roman"/>
          <w:lang w:val="en-US"/>
        </w:rPr>
        <w:t>un</w:t>
      </w:r>
      <w:proofErr w:type="gramEnd"/>
      <w:r w:rsidRPr="00372388">
        <w:rPr>
          <w:rFonts w:ascii="Times New Roman" w:hAnsi="Times New Roman"/>
          <w:lang w:val="en-US"/>
        </w:rPr>
        <w:t xml:space="preserve"> Giudice Costituzionale, il Mulino, Bologna, 2015</w:t>
      </w:r>
      <w:r>
        <w:rPr>
          <w:rFonts w:ascii="Times New Roman" w:hAnsi="Times New Roman"/>
          <w:lang w:val="en-US"/>
        </w:rPr>
        <w:t>.</w:t>
      </w:r>
    </w:p>
  </w:footnote>
  <w:footnote w:id="106">
    <w:p w:rsidR="000640CE" w:rsidRPr="00372388" w:rsidRDefault="000640CE" w:rsidP="00E60030">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w:t>
      </w:r>
      <w:r w:rsidRPr="00372388">
        <w:rPr>
          <w:rFonts w:ascii="Times New Roman" w:hAnsi="Times New Roman"/>
          <w:i/>
        </w:rPr>
        <w:t>J</w:t>
      </w:r>
      <w:r>
        <w:rPr>
          <w:rFonts w:ascii="Times New Roman" w:hAnsi="Times New Roman"/>
          <w:i/>
        </w:rPr>
        <w:t>.</w:t>
      </w:r>
      <w:r w:rsidRPr="00372388">
        <w:rPr>
          <w:rFonts w:ascii="Times New Roman" w:hAnsi="Times New Roman"/>
          <w:i/>
        </w:rPr>
        <w:t xml:space="preserve"> L</w:t>
      </w:r>
      <w:r>
        <w:rPr>
          <w:rFonts w:ascii="Times New Roman" w:hAnsi="Times New Roman"/>
          <w:i/>
        </w:rPr>
        <w:t>.</w:t>
      </w:r>
      <w:r w:rsidRPr="00372388">
        <w:rPr>
          <w:rFonts w:ascii="Times New Roman" w:hAnsi="Times New Roman"/>
          <w:i/>
        </w:rPr>
        <w:t xml:space="preserve"> Requejo Pagés</w:t>
      </w:r>
      <w:r w:rsidRPr="00372388">
        <w:rPr>
          <w:rFonts w:ascii="Times New Roman" w:hAnsi="Times New Roman"/>
        </w:rPr>
        <w:t>, Das spanische Verfassungsgericht, in:</w:t>
      </w:r>
      <w:r>
        <w:rPr>
          <w:rFonts w:ascii="Times New Roman" w:hAnsi="Times New Roman"/>
        </w:rPr>
        <w:t xml:space="preserve"> </w:t>
      </w:r>
      <w:r w:rsidRPr="00D922D2">
        <w:rPr>
          <w:rFonts w:ascii="Times New Roman" w:hAnsi="Times New Roman"/>
        </w:rPr>
        <w:t xml:space="preserve">v. Bogdandy/Grabenwarter/Huber </w:t>
      </w:r>
      <w:r>
        <w:rPr>
          <w:rFonts w:ascii="Times New Roman" w:hAnsi="Times New Roman"/>
        </w:rPr>
        <w:t>(Hrsg.),</w:t>
      </w:r>
      <w:r w:rsidRPr="00372388">
        <w:rPr>
          <w:rFonts w:ascii="Times New Roman" w:hAnsi="Times New Roman"/>
        </w:rPr>
        <w:t xml:space="preserve"> IPE VI, § 106 Rn. 140.</w:t>
      </w:r>
    </w:p>
  </w:footnote>
  <w:footnote w:id="107">
    <w:p w:rsidR="000640CE" w:rsidRPr="00372388" w:rsidRDefault="000640CE">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Statt vieler FAZ vom 10.5.2017, Lammert fordert Zurückhaltung.</w:t>
      </w:r>
    </w:p>
  </w:footnote>
  <w:footnote w:id="108">
    <w:p w:rsidR="000640CE" w:rsidRPr="00372388" w:rsidRDefault="000640CE">
      <w:pPr>
        <w:pStyle w:val="Funotentext"/>
        <w:rPr>
          <w:rFonts w:ascii="Times New Roman" w:hAnsi="Times New Roman"/>
        </w:rPr>
      </w:pPr>
      <w:r w:rsidRPr="00372388">
        <w:rPr>
          <w:rStyle w:val="Funotenzeichen"/>
          <w:rFonts w:ascii="Times New Roman" w:hAnsi="Times New Roman" w:cs="Times New Roman"/>
        </w:rPr>
        <w:footnoteRef/>
      </w:r>
      <w:r w:rsidRPr="00372388">
        <w:rPr>
          <w:rFonts w:ascii="Times New Roman" w:hAnsi="Times New Roman"/>
        </w:rPr>
        <w:t xml:space="preserve"> Den Ton setzend </w:t>
      </w:r>
      <w:r w:rsidRPr="00372388">
        <w:rPr>
          <w:rFonts w:ascii="Times New Roman" w:hAnsi="Times New Roman"/>
          <w:i/>
        </w:rPr>
        <w:t>M. Jestaedt/O. Lepsius/C. Möllers/C. Schönberger</w:t>
      </w:r>
      <w:r w:rsidRPr="00372388">
        <w:rPr>
          <w:rFonts w:ascii="Times New Roman" w:hAnsi="Times New Roman"/>
        </w:rPr>
        <w:t>, Das entgrenzte Gericht,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213089"/>
      <w:docPartObj>
        <w:docPartGallery w:val="Page Numbers (Top of Page)"/>
        <w:docPartUnique/>
      </w:docPartObj>
    </w:sdtPr>
    <w:sdtEndPr/>
    <w:sdtContent>
      <w:p w:rsidR="000640CE" w:rsidRDefault="000640CE">
        <w:pPr>
          <w:pStyle w:val="Kopfzeile"/>
          <w:jc w:val="center"/>
        </w:pPr>
        <w:r>
          <w:fldChar w:fldCharType="begin"/>
        </w:r>
        <w:r>
          <w:instrText>PAGE   \* MERGEFORMAT</w:instrText>
        </w:r>
        <w:r>
          <w:fldChar w:fldCharType="separate"/>
        </w:r>
        <w:r w:rsidR="00FF1935">
          <w:rPr>
            <w:noProof/>
          </w:rPr>
          <w:t>2</w:t>
        </w:r>
        <w:r>
          <w:fldChar w:fldCharType="end"/>
        </w:r>
      </w:p>
    </w:sdtContent>
  </w:sdt>
  <w:p w:rsidR="000640CE" w:rsidRDefault="000640C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55B10"/>
    <w:multiLevelType w:val="hybridMultilevel"/>
    <w:tmpl w:val="A20E96D4"/>
    <w:lvl w:ilvl="0" w:tplc="62A85A7E">
      <w:start w:val="1"/>
      <w:numFmt w:val="lowerLetter"/>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
    <w:nsid w:val="38D5153D"/>
    <w:multiLevelType w:val="hybridMultilevel"/>
    <w:tmpl w:val="713224D2"/>
    <w:lvl w:ilvl="0" w:tplc="E6AA989E">
      <w:start w:val="2"/>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C02973"/>
    <w:multiLevelType w:val="hybridMultilevel"/>
    <w:tmpl w:val="032850DC"/>
    <w:lvl w:ilvl="0" w:tplc="0407000F">
      <w:start w:val="1"/>
      <w:numFmt w:val="decimal"/>
      <w:lvlText w:val="%1."/>
      <w:lvlJc w:val="left"/>
      <w:pPr>
        <w:ind w:left="1636" w:hanging="360"/>
      </w:pPr>
      <w:rPr>
        <w:rFonts w:hint="default"/>
      </w:rPr>
    </w:lvl>
    <w:lvl w:ilvl="1" w:tplc="04070019" w:tentative="1">
      <w:start w:val="1"/>
      <w:numFmt w:val="lowerLetter"/>
      <w:lvlText w:val="%2."/>
      <w:lvlJc w:val="left"/>
      <w:pPr>
        <w:ind w:left="2356" w:hanging="360"/>
      </w:pPr>
    </w:lvl>
    <w:lvl w:ilvl="2" w:tplc="0407001B" w:tentative="1">
      <w:start w:val="1"/>
      <w:numFmt w:val="lowerRoman"/>
      <w:lvlText w:val="%3."/>
      <w:lvlJc w:val="right"/>
      <w:pPr>
        <w:ind w:left="3076" w:hanging="180"/>
      </w:pPr>
    </w:lvl>
    <w:lvl w:ilvl="3" w:tplc="0407000F" w:tentative="1">
      <w:start w:val="1"/>
      <w:numFmt w:val="decimal"/>
      <w:lvlText w:val="%4."/>
      <w:lvlJc w:val="left"/>
      <w:pPr>
        <w:ind w:left="3796" w:hanging="360"/>
      </w:pPr>
    </w:lvl>
    <w:lvl w:ilvl="4" w:tplc="04070019" w:tentative="1">
      <w:start w:val="1"/>
      <w:numFmt w:val="lowerLetter"/>
      <w:lvlText w:val="%5."/>
      <w:lvlJc w:val="left"/>
      <w:pPr>
        <w:ind w:left="4516" w:hanging="360"/>
      </w:pPr>
    </w:lvl>
    <w:lvl w:ilvl="5" w:tplc="0407001B" w:tentative="1">
      <w:start w:val="1"/>
      <w:numFmt w:val="lowerRoman"/>
      <w:lvlText w:val="%6."/>
      <w:lvlJc w:val="right"/>
      <w:pPr>
        <w:ind w:left="5236" w:hanging="180"/>
      </w:pPr>
    </w:lvl>
    <w:lvl w:ilvl="6" w:tplc="0407000F" w:tentative="1">
      <w:start w:val="1"/>
      <w:numFmt w:val="decimal"/>
      <w:lvlText w:val="%7."/>
      <w:lvlJc w:val="left"/>
      <w:pPr>
        <w:ind w:left="5956" w:hanging="360"/>
      </w:pPr>
    </w:lvl>
    <w:lvl w:ilvl="7" w:tplc="04070019" w:tentative="1">
      <w:start w:val="1"/>
      <w:numFmt w:val="lowerLetter"/>
      <w:lvlText w:val="%8."/>
      <w:lvlJc w:val="left"/>
      <w:pPr>
        <w:ind w:left="6676" w:hanging="360"/>
      </w:pPr>
    </w:lvl>
    <w:lvl w:ilvl="8" w:tplc="0407001B" w:tentative="1">
      <w:start w:val="1"/>
      <w:numFmt w:val="lowerRoman"/>
      <w:lvlText w:val="%9."/>
      <w:lvlJc w:val="right"/>
      <w:pPr>
        <w:ind w:left="7396" w:hanging="180"/>
      </w:pPr>
    </w:lvl>
  </w:abstractNum>
  <w:abstractNum w:abstractNumId="3">
    <w:nsid w:val="7C4C32B5"/>
    <w:multiLevelType w:val="hybridMultilevel"/>
    <w:tmpl w:val="4028CA30"/>
    <w:lvl w:ilvl="0" w:tplc="D2581050">
      <w:start w:val="1"/>
      <w:numFmt w:val="decimal"/>
      <w:lvlText w:val="%1."/>
      <w:lvlJc w:val="left"/>
      <w:pPr>
        <w:ind w:left="720" w:hanging="360"/>
      </w:pPr>
    </w:lvl>
    <w:lvl w:ilvl="1" w:tplc="6164938A">
      <w:numFmt w:val="bullet"/>
      <w:lvlText w:val=""/>
      <w:lvlJc w:val="left"/>
      <w:pPr>
        <w:ind w:left="1440" w:hanging="360"/>
      </w:pPr>
      <w:rPr>
        <w:rFonts w:ascii="Wingdings" w:eastAsiaTheme="minorEastAsia" w:hAnsi="Wingdings"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D364EE3"/>
    <w:multiLevelType w:val="hybridMultilevel"/>
    <w:tmpl w:val="3134F6F4"/>
    <w:lvl w:ilvl="0" w:tplc="5E0C4F2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B6"/>
    <w:rsid w:val="00007BF1"/>
    <w:rsid w:val="0005181D"/>
    <w:rsid w:val="00061630"/>
    <w:rsid w:val="000640CE"/>
    <w:rsid w:val="0006430F"/>
    <w:rsid w:val="00065C98"/>
    <w:rsid w:val="0009254D"/>
    <w:rsid w:val="000A62DD"/>
    <w:rsid w:val="000C79DB"/>
    <w:rsid w:val="000D565D"/>
    <w:rsid w:val="000E0D6A"/>
    <w:rsid w:val="000F6297"/>
    <w:rsid w:val="000F66BC"/>
    <w:rsid w:val="00101058"/>
    <w:rsid w:val="001203B0"/>
    <w:rsid w:val="00123609"/>
    <w:rsid w:val="00124153"/>
    <w:rsid w:val="00126FAB"/>
    <w:rsid w:val="00130B28"/>
    <w:rsid w:val="001326C6"/>
    <w:rsid w:val="00153FDF"/>
    <w:rsid w:val="00164998"/>
    <w:rsid w:val="00171248"/>
    <w:rsid w:val="001825DB"/>
    <w:rsid w:val="001866C0"/>
    <w:rsid w:val="00187992"/>
    <w:rsid w:val="001B10A6"/>
    <w:rsid w:val="001C22C5"/>
    <w:rsid w:val="001D75DC"/>
    <w:rsid w:val="001E6723"/>
    <w:rsid w:val="001F1FC9"/>
    <w:rsid w:val="001F296D"/>
    <w:rsid w:val="001F5AE0"/>
    <w:rsid w:val="00211D1F"/>
    <w:rsid w:val="00250849"/>
    <w:rsid w:val="00255908"/>
    <w:rsid w:val="00260FED"/>
    <w:rsid w:val="00265D24"/>
    <w:rsid w:val="0027097D"/>
    <w:rsid w:val="00287BE9"/>
    <w:rsid w:val="00294586"/>
    <w:rsid w:val="002A4EDA"/>
    <w:rsid w:val="002A5340"/>
    <w:rsid w:val="002B5DC7"/>
    <w:rsid w:val="002B6EF2"/>
    <w:rsid w:val="002C4DA9"/>
    <w:rsid w:val="002C6CDC"/>
    <w:rsid w:val="002C7B39"/>
    <w:rsid w:val="002D07EA"/>
    <w:rsid w:val="002E0342"/>
    <w:rsid w:val="002E6F68"/>
    <w:rsid w:val="003002E8"/>
    <w:rsid w:val="00303413"/>
    <w:rsid w:val="00303D79"/>
    <w:rsid w:val="00330F88"/>
    <w:rsid w:val="00333CF1"/>
    <w:rsid w:val="00350234"/>
    <w:rsid w:val="00365E9C"/>
    <w:rsid w:val="00366D4E"/>
    <w:rsid w:val="00371DD4"/>
    <w:rsid w:val="00372388"/>
    <w:rsid w:val="00377143"/>
    <w:rsid w:val="00381B58"/>
    <w:rsid w:val="00384AF4"/>
    <w:rsid w:val="003855B3"/>
    <w:rsid w:val="00392254"/>
    <w:rsid w:val="0039776D"/>
    <w:rsid w:val="003B5717"/>
    <w:rsid w:val="003D08F9"/>
    <w:rsid w:val="003D0990"/>
    <w:rsid w:val="003E6A45"/>
    <w:rsid w:val="003F13D1"/>
    <w:rsid w:val="003F466C"/>
    <w:rsid w:val="003F70FC"/>
    <w:rsid w:val="0040586E"/>
    <w:rsid w:val="00406F46"/>
    <w:rsid w:val="0041463C"/>
    <w:rsid w:val="004209E4"/>
    <w:rsid w:val="00437B53"/>
    <w:rsid w:val="00443414"/>
    <w:rsid w:val="004445FB"/>
    <w:rsid w:val="00445169"/>
    <w:rsid w:val="004477D6"/>
    <w:rsid w:val="00454D7F"/>
    <w:rsid w:val="00476BB9"/>
    <w:rsid w:val="004817B7"/>
    <w:rsid w:val="0048465A"/>
    <w:rsid w:val="004875C9"/>
    <w:rsid w:val="00493A87"/>
    <w:rsid w:val="004C656B"/>
    <w:rsid w:val="004C738A"/>
    <w:rsid w:val="004E6AC0"/>
    <w:rsid w:val="00510DFE"/>
    <w:rsid w:val="00514F56"/>
    <w:rsid w:val="005538C2"/>
    <w:rsid w:val="00571483"/>
    <w:rsid w:val="005725F0"/>
    <w:rsid w:val="00573248"/>
    <w:rsid w:val="00583797"/>
    <w:rsid w:val="005B6BE9"/>
    <w:rsid w:val="005B79E2"/>
    <w:rsid w:val="005C0552"/>
    <w:rsid w:val="005C76AE"/>
    <w:rsid w:val="005D316A"/>
    <w:rsid w:val="005E2E9F"/>
    <w:rsid w:val="005E45A5"/>
    <w:rsid w:val="005E6D06"/>
    <w:rsid w:val="00615121"/>
    <w:rsid w:val="006170FF"/>
    <w:rsid w:val="00642A4D"/>
    <w:rsid w:val="00651446"/>
    <w:rsid w:val="006932B9"/>
    <w:rsid w:val="006A6D36"/>
    <w:rsid w:val="006A6E07"/>
    <w:rsid w:val="006B2104"/>
    <w:rsid w:val="006C2AC7"/>
    <w:rsid w:val="006C3C42"/>
    <w:rsid w:val="006D0400"/>
    <w:rsid w:val="006D121D"/>
    <w:rsid w:val="006D5A01"/>
    <w:rsid w:val="006D6056"/>
    <w:rsid w:val="006D7DF1"/>
    <w:rsid w:val="006E58F2"/>
    <w:rsid w:val="006E6C5C"/>
    <w:rsid w:val="007027D7"/>
    <w:rsid w:val="00702E4D"/>
    <w:rsid w:val="00730F3A"/>
    <w:rsid w:val="00731AAE"/>
    <w:rsid w:val="00750CA7"/>
    <w:rsid w:val="00754920"/>
    <w:rsid w:val="00761F9C"/>
    <w:rsid w:val="007627D6"/>
    <w:rsid w:val="00765C63"/>
    <w:rsid w:val="0076634E"/>
    <w:rsid w:val="00771374"/>
    <w:rsid w:val="00780630"/>
    <w:rsid w:val="00780B23"/>
    <w:rsid w:val="00782610"/>
    <w:rsid w:val="00782FD5"/>
    <w:rsid w:val="00791E48"/>
    <w:rsid w:val="007B09F6"/>
    <w:rsid w:val="007C0A3D"/>
    <w:rsid w:val="007C3F0D"/>
    <w:rsid w:val="007D30FA"/>
    <w:rsid w:val="007D3CBA"/>
    <w:rsid w:val="007E14DD"/>
    <w:rsid w:val="007E593B"/>
    <w:rsid w:val="007F55AB"/>
    <w:rsid w:val="008247F1"/>
    <w:rsid w:val="00834F01"/>
    <w:rsid w:val="00840B8B"/>
    <w:rsid w:val="008447B6"/>
    <w:rsid w:val="008454D7"/>
    <w:rsid w:val="00856A6D"/>
    <w:rsid w:val="00872543"/>
    <w:rsid w:val="008777BA"/>
    <w:rsid w:val="00877BFC"/>
    <w:rsid w:val="00890E87"/>
    <w:rsid w:val="00895F11"/>
    <w:rsid w:val="008A14D9"/>
    <w:rsid w:val="008B427D"/>
    <w:rsid w:val="008D125F"/>
    <w:rsid w:val="008D6921"/>
    <w:rsid w:val="00900F50"/>
    <w:rsid w:val="00940178"/>
    <w:rsid w:val="00952C40"/>
    <w:rsid w:val="00954776"/>
    <w:rsid w:val="00956CB9"/>
    <w:rsid w:val="00966EC5"/>
    <w:rsid w:val="00967A10"/>
    <w:rsid w:val="00975AB5"/>
    <w:rsid w:val="00984D50"/>
    <w:rsid w:val="0098758B"/>
    <w:rsid w:val="009C2878"/>
    <w:rsid w:val="009D6549"/>
    <w:rsid w:val="009E75DE"/>
    <w:rsid w:val="009F007F"/>
    <w:rsid w:val="009F0083"/>
    <w:rsid w:val="00A05132"/>
    <w:rsid w:val="00A051BD"/>
    <w:rsid w:val="00A05A75"/>
    <w:rsid w:val="00A22AEE"/>
    <w:rsid w:val="00A25B22"/>
    <w:rsid w:val="00A27BBE"/>
    <w:rsid w:val="00A356BF"/>
    <w:rsid w:val="00A444CF"/>
    <w:rsid w:val="00A451E0"/>
    <w:rsid w:val="00A47CF3"/>
    <w:rsid w:val="00A6363C"/>
    <w:rsid w:val="00A640CF"/>
    <w:rsid w:val="00A71E61"/>
    <w:rsid w:val="00A72567"/>
    <w:rsid w:val="00A804D4"/>
    <w:rsid w:val="00A846DD"/>
    <w:rsid w:val="00A97A0A"/>
    <w:rsid w:val="00AA2ACB"/>
    <w:rsid w:val="00AA591B"/>
    <w:rsid w:val="00AB124B"/>
    <w:rsid w:val="00AC7C69"/>
    <w:rsid w:val="00AD1E5E"/>
    <w:rsid w:val="00AD4D95"/>
    <w:rsid w:val="00AE2E59"/>
    <w:rsid w:val="00AF444B"/>
    <w:rsid w:val="00AF6BA3"/>
    <w:rsid w:val="00B00E27"/>
    <w:rsid w:val="00B02960"/>
    <w:rsid w:val="00B12618"/>
    <w:rsid w:val="00B144A4"/>
    <w:rsid w:val="00B44B68"/>
    <w:rsid w:val="00B45195"/>
    <w:rsid w:val="00B525CC"/>
    <w:rsid w:val="00B63A14"/>
    <w:rsid w:val="00B74286"/>
    <w:rsid w:val="00B76D2B"/>
    <w:rsid w:val="00B91E9C"/>
    <w:rsid w:val="00BA1608"/>
    <w:rsid w:val="00BB0697"/>
    <w:rsid w:val="00BB191E"/>
    <w:rsid w:val="00BE4E7C"/>
    <w:rsid w:val="00C21251"/>
    <w:rsid w:val="00C24D00"/>
    <w:rsid w:val="00C25C3C"/>
    <w:rsid w:val="00C26A86"/>
    <w:rsid w:val="00C33E99"/>
    <w:rsid w:val="00C40012"/>
    <w:rsid w:val="00C454BF"/>
    <w:rsid w:val="00C54D7B"/>
    <w:rsid w:val="00C65D9E"/>
    <w:rsid w:val="00C66DA0"/>
    <w:rsid w:val="00C7235B"/>
    <w:rsid w:val="00C7495C"/>
    <w:rsid w:val="00C91A14"/>
    <w:rsid w:val="00CA1400"/>
    <w:rsid w:val="00CB1CA4"/>
    <w:rsid w:val="00CB26D1"/>
    <w:rsid w:val="00CC38E3"/>
    <w:rsid w:val="00CC6C47"/>
    <w:rsid w:val="00CE3CFE"/>
    <w:rsid w:val="00CF552D"/>
    <w:rsid w:val="00D00EED"/>
    <w:rsid w:val="00D164D6"/>
    <w:rsid w:val="00D21E0A"/>
    <w:rsid w:val="00D525D6"/>
    <w:rsid w:val="00D564A5"/>
    <w:rsid w:val="00D65133"/>
    <w:rsid w:val="00D76F94"/>
    <w:rsid w:val="00D83CAB"/>
    <w:rsid w:val="00D922D2"/>
    <w:rsid w:val="00D92933"/>
    <w:rsid w:val="00DA3CAF"/>
    <w:rsid w:val="00DC685E"/>
    <w:rsid w:val="00DE5798"/>
    <w:rsid w:val="00DF0DC4"/>
    <w:rsid w:val="00E0193E"/>
    <w:rsid w:val="00E01F68"/>
    <w:rsid w:val="00E03B15"/>
    <w:rsid w:val="00E04F47"/>
    <w:rsid w:val="00E26C5F"/>
    <w:rsid w:val="00E30A9E"/>
    <w:rsid w:val="00E33991"/>
    <w:rsid w:val="00E35D05"/>
    <w:rsid w:val="00E35D07"/>
    <w:rsid w:val="00E4361A"/>
    <w:rsid w:val="00E5497D"/>
    <w:rsid w:val="00E60030"/>
    <w:rsid w:val="00E72CF2"/>
    <w:rsid w:val="00E803DF"/>
    <w:rsid w:val="00E853A4"/>
    <w:rsid w:val="00E95F45"/>
    <w:rsid w:val="00E973DE"/>
    <w:rsid w:val="00EA040F"/>
    <w:rsid w:val="00ED75C4"/>
    <w:rsid w:val="00EE0BD2"/>
    <w:rsid w:val="00EE2824"/>
    <w:rsid w:val="00F15739"/>
    <w:rsid w:val="00F219CB"/>
    <w:rsid w:val="00F320DF"/>
    <w:rsid w:val="00F5359B"/>
    <w:rsid w:val="00F9734F"/>
    <w:rsid w:val="00FA2531"/>
    <w:rsid w:val="00FB4845"/>
    <w:rsid w:val="00FC417A"/>
    <w:rsid w:val="00FD43B9"/>
    <w:rsid w:val="00FE0C2D"/>
    <w:rsid w:val="00FE5ABC"/>
    <w:rsid w:val="00FF03F7"/>
    <w:rsid w:val="00FF19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de-D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5D24"/>
    <w:rPr>
      <w:rFonts w:eastAsiaTheme="minorEastAsia"/>
      <w:sz w:val="22"/>
      <w:lang w:eastAsia="de-DE"/>
    </w:rPr>
  </w:style>
  <w:style w:type="paragraph" w:styleId="berschrift1">
    <w:name w:val="heading 1"/>
    <w:basedOn w:val="Standard"/>
    <w:next w:val="Standard"/>
    <w:link w:val="berschrift1Zchn"/>
    <w:autoRedefine/>
    <w:uiPriority w:val="9"/>
    <w:qFormat/>
    <w:rsid w:val="008447B6"/>
    <w:pPr>
      <w:keepNext/>
      <w:keepLines/>
      <w:spacing w:before="480"/>
      <w:jc w:val="center"/>
      <w:outlineLvl w:val="0"/>
    </w:pPr>
    <w:rPr>
      <w:rFonts w:eastAsiaTheme="majorEastAsia" w:cstheme="majorBidi"/>
      <w:b/>
      <w:bCs/>
      <w:szCs w:val="28"/>
    </w:rPr>
  </w:style>
  <w:style w:type="paragraph" w:styleId="berschrift2">
    <w:name w:val="heading 2"/>
    <w:basedOn w:val="Standard"/>
    <w:next w:val="Standard"/>
    <w:link w:val="berschrift2Zchn"/>
    <w:autoRedefine/>
    <w:uiPriority w:val="9"/>
    <w:unhideWhenUsed/>
    <w:qFormat/>
    <w:rsid w:val="00FC417A"/>
    <w:pPr>
      <w:keepNext/>
      <w:keepLines/>
      <w:spacing w:before="200"/>
      <w:ind w:left="720" w:hanging="360"/>
      <w:jc w:val="center"/>
      <w:outlineLvl w:val="1"/>
    </w:pPr>
    <w:rPr>
      <w:rFonts w:eastAsiaTheme="majorEastAsia" w:cstheme="majorBidi"/>
      <w:b/>
      <w:bCs/>
      <w:szCs w:val="26"/>
    </w:rPr>
  </w:style>
  <w:style w:type="paragraph" w:styleId="berschrift3">
    <w:name w:val="heading 3"/>
    <w:basedOn w:val="Standard"/>
    <w:next w:val="Standard"/>
    <w:link w:val="berschrift3Zchn"/>
    <w:autoRedefine/>
    <w:unhideWhenUsed/>
    <w:qFormat/>
    <w:rsid w:val="004209E4"/>
    <w:pPr>
      <w:keepNext/>
      <w:keepLines/>
      <w:spacing w:before="120" w:line="240" w:lineRule="auto"/>
      <w:ind w:left="2160" w:hanging="360"/>
      <w:jc w:val="left"/>
      <w:outlineLvl w:val="2"/>
    </w:pPr>
    <w:rPr>
      <w:rFonts w:ascii="Times New Roman" w:eastAsiaTheme="majorEastAsia" w:hAnsi="Times New Roman"/>
      <w:bCs/>
      <w:i/>
      <w:spacing w:val="-2"/>
      <w:lang w:eastAsia="en-US"/>
    </w:rPr>
  </w:style>
  <w:style w:type="paragraph" w:styleId="berschrift4">
    <w:name w:val="heading 4"/>
    <w:basedOn w:val="Standard"/>
    <w:next w:val="Standard"/>
    <w:link w:val="berschrift4Zchn"/>
    <w:uiPriority w:val="9"/>
    <w:unhideWhenUsed/>
    <w:qFormat/>
    <w:rsid w:val="00AA591B"/>
    <w:pPr>
      <w:keepNext/>
      <w:keepLines/>
      <w:spacing w:before="200"/>
      <w:outlineLvl w:val="3"/>
    </w:pPr>
    <w:rPr>
      <w:rFonts w:eastAsiaTheme="majorEastAsia"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itat">
    <w:name w:val="Quote"/>
    <w:basedOn w:val="Standard"/>
    <w:next w:val="Standard"/>
    <w:link w:val="ZitatZchn"/>
    <w:autoRedefine/>
    <w:uiPriority w:val="29"/>
    <w:qFormat/>
    <w:rsid w:val="00D21E0A"/>
    <w:pPr>
      <w:spacing w:line="240" w:lineRule="auto"/>
      <w:ind w:left="708"/>
    </w:pPr>
    <w:rPr>
      <w:rFonts w:ascii="Times New Roman" w:hAnsi="Times New Roman"/>
      <w:iCs/>
      <w:color w:val="000000" w:themeColor="text1"/>
      <w:sz w:val="24"/>
      <w:szCs w:val="24"/>
    </w:rPr>
  </w:style>
  <w:style w:type="character" w:customStyle="1" w:styleId="ZitatZchn">
    <w:name w:val="Zitat Zchn"/>
    <w:basedOn w:val="Absatz-Standardschriftart"/>
    <w:link w:val="Zitat"/>
    <w:uiPriority w:val="29"/>
    <w:rsid w:val="00D21E0A"/>
    <w:rPr>
      <w:rFonts w:ascii="Times New Roman" w:eastAsiaTheme="minorEastAsia" w:hAnsi="Times New Roman"/>
      <w:iCs/>
      <w:color w:val="000000" w:themeColor="text1"/>
      <w:sz w:val="24"/>
      <w:szCs w:val="24"/>
      <w:lang w:eastAsia="de-DE"/>
    </w:rPr>
  </w:style>
  <w:style w:type="character" w:customStyle="1" w:styleId="berschrift3Zchn">
    <w:name w:val="Überschrift 3 Zchn"/>
    <w:basedOn w:val="Absatz-Standardschriftart"/>
    <w:link w:val="berschrift3"/>
    <w:rsid w:val="004209E4"/>
    <w:rPr>
      <w:rFonts w:ascii="Times New Roman" w:eastAsiaTheme="majorEastAsia" w:hAnsi="Times New Roman"/>
      <w:bCs/>
      <w:i/>
      <w:spacing w:val="-2"/>
      <w:sz w:val="24"/>
    </w:rPr>
  </w:style>
  <w:style w:type="paragraph" w:customStyle="1" w:styleId="berschrift30">
    <w:name w:val="Überschrift3"/>
    <w:basedOn w:val="Standard"/>
    <w:next w:val="berschrift3"/>
    <w:link w:val="berschrift3Zchn0"/>
    <w:autoRedefine/>
    <w:qFormat/>
    <w:rsid w:val="00782610"/>
    <w:pPr>
      <w:jc w:val="center"/>
    </w:pPr>
    <w:rPr>
      <w:rFonts w:asciiTheme="minorHAnsi" w:hAnsiTheme="minorHAnsi"/>
      <w:szCs w:val="24"/>
    </w:rPr>
  </w:style>
  <w:style w:type="character" w:customStyle="1" w:styleId="berschrift3Zchn0">
    <w:name w:val="Überschrift3 Zchn"/>
    <w:basedOn w:val="Absatz-Standardschriftart"/>
    <w:link w:val="berschrift30"/>
    <w:rsid w:val="00782610"/>
    <w:rPr>
      <w:sz w:val="24"/>
      <w:szCs w:val="24"/>
    </w:rPr>
  </w:style>
  <w:style w:type="character" w:customStyle="1" w:styleId="berschrift2Zchn">
    <w:name w:val="Überschrift 2 Zchn"/>
    <w:basedOn w:val="Absatz-Standardschriftart"/>
    <w:link w:val="berschrift2"/>
    <w:uiPriority w:val="9"/>
    <w:rsid w:val="00FC417A"/>
    <w:rPr>
      <w:rFonts w:eastAsiaTheme="majorEastAsia" w:cstheme="majorBidi"/>
      <w:b/>
      <w:bCs/>
      <w:sz w:val="22"/>
      <w:szCs w:val="26"/>
      <w:lang w:eastAsia="de-DE"/>
    </w:rPr>
  </w:style>
  <w:style w:type="character" w:customStyle="1" w:styleId="berschrift1Zchn">
    <w:name w:val="Überschrift 1 Zchn"/>
    <w:basedOn w:val="Absatz-Standardschriftart"/>
    <w:link w:val="berschrift1"/>
    <w:uiPriority w:val="9"/>
    <w:rsid w:val="008447B6"/>
    <w:rPr>
      <w:rFonts w:eastAsiaTheme="majorEastAsia" w:cstheme="majorBidi"/>
      <w:b/>
      <w:bCs/>
      <w:sz w:val="22"/>
      <w:szCs w:val="28"/>
      <w:lang w:eastAsia="de-DE"/>
    </w:rPr>
  </w:style>
  <w:style w:type="paragraph" w:styleId="KeinLeerraum">
    <w:name w:val="No Spacing"/>
    <w:autoRedefine/>
    <w:uiPriority w:val="1"/>
    <w:qFormat/>
    <w:rsid w:val="00265D24"/>
    <w:pPr>
      <w:spacing w:line="240" w:lineRule="auto"/>
      <w:jc w:val="center"/>
    </w:pPr>
    <w:rPr>
      <w:rFonts w:eastAsiaTheme="minorEastAsia"/>
      <w:sz w:val="22"/>
      <w:lang w:eastAsia="de-DE"/>
    </w:rPr>
  </w:style>
  <w:style w:type="paragraph" w:styleId="Funotentext">
    <w:name w:val="footnote text"/>
    <w:aliases w:val="FA"/>
    <w:basedOn w:val="Standard"/>
    <w:link w:val="FunotentextZchn"/>
    <w:unhideWhenUsed/>
    <w:rsid w:val="008447B6"/>
    <w:pPr>
      <w:spacing w:line="240" w:lineRule="auto"/>
    </w:pPr>
    <w:rPr>
      <w:sz w:val="20"/>
    </w:rPr>
  </w:style>
  <w:style w:type="character" w:customStyle="1" w:styleId="FunotentextZchn">
    <w:name w:val="Fußnotentext Zchn"/>
    <w:aliases w:val="FA Zchn"/>
    <w:basedOn w:val="Absatz-Standardschriftart"/>
    <w:link w:val="Funotentext"/>
    <w:rsid w:val="008447B6"/>
    <w:rPr>
      <w:rFonts w:eastAsiaTheme="minorEastAsia"/>
      <w:lang w:eastAsia="de-DE"/>
    </w:rPr>
  </w:style>
  <w:style w:type="character" w:styleId="Funotenzeichen">
    <w:name w:val="footnote reference"/>
    <w:basedOn w:val="Absatz-Standardschriftart"/>
    <w:uiPriority w:val="99"/>
    <w:rsid w:val="008447B6"/>
    <w:rPr>
      <w:rFonts w:ascii="Arial" w:hAnsi="Arial" w:cs="Arial" w:hint="default"/>
      <w:color w:val="auto"/>
      <w:sz w:val="20"/>
      <w:vertAlign w:val="superscript"/>
    </w:rPr>
  </w:style>
  <w:style w:type="paragraph" w:styleId="Sprechblasentext">
    <w:name w:val="Balloon Text"/>
    <w:basedOn w:val="Standard"/>
    <w:link w:val="SprechblasentextZchn"/>
    <w:uiPriority w:val="99"/>
    <w:semiHidden/>
    <w:unhideWhenUsed/>
    <w:rsid w:val="002E6F6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F68"/>
    <w:rPr>
      <w:rFonts w:ascii="Tahoma" w:eastAsiaTheme="minorEastAsia" w:hAnsi="Tahoma" w:cs="Tahoma"/>
      <w:sz w:val="16"/>
      <w:szCs w:val="16"/>
      <w:lang w:eastAsia="de-DE"/>
    </w:rPr>
  </w:style>
  <w:style w:type="paragraph" w:styleId="Kopfzeile">
    <w:name w:val="header"/>
    <w:basedOn w:val="Standard"/>
    <w:link w:val="KopfzeileZchn"/>
    <w:uiPriority w:val="99"/>
    <w:unhideWhenUsed/>
    <w:rsid w:val="00AA591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A591B"/>
    <w:rPr>
      <w:rFonts w:eastAsiaTheme="minorEastAsia"/>
      <w:sz w:val="22"/>
      <w:lang w:eastAsia="de-DE"/>
    </w:rPr>
  </w:style>
  <w:style w:type="paragraph" w:styleId="Fuzeile">
    <w:name w:val="footer"/>
    <w:basedOn w:val="Standard"/>
    <w:link w:val="FuzeileZchn"/>
    <w:uiPriority w:val="99"/>
    <w:unhideWhenUsed/>
    <w:rsid w:val="00AA591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A591B"/>
    <w:rPr>
      <w:rFonts w:eastAsiaTheme="minorEastAsia"/>
      <w:sz w:val="22"/>
      <w:lang w:eastAsia="de-DE"/>
    </w:rPr>
  </w:style>
  <w:style w:type="character" w:customStyle="1" w:styleId="berschrift4Zchn">
    <w:name w:val="Überschrift 4 Zchn"/>
    <w:basedOn w:val="Absatz-Standardschriftart"/>
    <w:link w:val="berschrift4"/>
    <w:uiPriority w:val="9"/>
    <w:rsid w:val="00AA591B"/>
    <w:rPr>
      <w:rFonts w:eastAsiaTheme="majorEastAsia" w:cstheme="majorBidi"/>
      <w:bCs/>
      <w:i/>
      <w:iCs/>
      <w:sz w:val="22"/>
      <w:lang w:eastAsia="de-DE"/>
    </w:rPr>
  </w:style>
  <w:style w:type="character" w:styleId="Hyperlink">
    <w:name w:val="Hyperlink"/>
    <w:basedOn w:val="Absatz-Standardschriftart"/>
    <w:uiPriority w:val="99"/>
    <w:unhideWhenUsed/>
    <w:rsid w:val="00C40012"/>
    <w:rPr>
      <w:color w:val="0000FF" w:themeColor="hyperlink"/>
      <w:u w:val="single"/>
    </w:rPr>
  </w:style>
  <w:style w:type="paragraph" w:customStyle="1" w:styleId="Fall">
    <w:name w:val="Fall"/>
    <w:basedOn w:val="Standard"/>
    <w:next w:val="Standard"/>
    <w:rsid w:val="00940178"/>
    <w:pPr>
      <w:spacing w:line="240" w:lineRule="auto"/>
      <w:ind w:firstLine="170"/>
    </w:pPr>
    <w:rPr>
      <w:rFonts w:ascii="Times New Roman" w:eastAsia="Times New Roman" w:hAnsi="Times New Roman"/>
      <w:sz w:val="18"/>
    </w:rPr>
  </w:style>
  <w:style w:type="paragraph" w:customStyle="1" w:styleId="FormatvorlageBlockZeilenabstand15Zeilen">
    <w:name w:val="Formatvorlage Block Zeilenabstand:  15 Zeilen"/>
    <w:basedOn w:val="Standard"/>
    <w:rsid w:val="00940178"/>
    <w:pPr>
      <w:spacing w:line="312" w:lineRule="auto"/>
    </w:pPr>
    <w:rPr>
      <w:rFonts w:ascii="Times New Roman" w:eastAsia="Times New Roman" w:hAnsi="Times New Roman"/>
    </w:rPr>
  </w:style>
  <w:style w:type="paragraph" w:styleId="NurText">
    <w:name w:val="Plain Text"/>
    <w:basedOn w:val="Standard"/>
    <w:link w:val="NurTextZchn"/>
    <w:uiPriority w:val="99"/>
    <w:semiHidden/>
    <w:unhideWhenUsed/>
    <w:rsid w:val="00303D79"/>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303D79"/>
    <w:rPr>
      <w:rFonts w:ascii="Consolas" w:eastAsiaTheme="minorEastAsia" w:hAnsi="Consolas" w:cs="Consolas"/>
      <w:sz w:val="21"/>
      <w:szCs w:val="21"/>
      <w:lang w:eastAsia="de-DE"/>
    </w:rPr>
  </w:style>
  <w:style w:type="paragraph" w:styleId="Listenabsatz">
    <w:name w:val="List Paragraph"/>
    <w:basedOn w:val="Standard"/>
    <w:uiPriority w:val="34"/>
    <w:qFormat/>
    <w:rsid w:val="001E6723"/>
    <w:pPr>
      <w:ind w:left="720"/>
      <w:contextualSpacing/>
    </w:pPr>
  </w:style>
  <w:style w:type="character" w:styleId="Fett">
    <w:name w:val="Strong"/>
    <w:basedOn w:val="Absatz-Standardschriftart"/>
    <w:uiPriority w:val="22"/>
    <w:qFormat/>
    <w:rsid w:val="00377143"/>
    <w:rPr>
      <w:b/>
      <w:bCs/>
    </w:rPr>
  </w:style>
  <w:style w:type="paragraph" w:styleId="Verzeichnis1">
    <w:name w:val="toc 1"/>
    <w:basedOn w:val="Standard"/>
    <w:next w:val="Standard"/>
    <w:autoRedefine/>
    <w:uiPriority w:val="39"/>
    <w:unhideWhenUsed/>
    <w:rsid w:val="00E03B15"/>
    <w:pPr>
      <w:spacing w:after="100"/>
    </w:pPr>
  </w:style>
  <w:style w:type="paragraph" w:styleId="Verzeichnis2">
    <w:name w:val="toc 2"/>
    <w:basedOn w:val="Standard"/>
    <w:next w:val="Standard"/>
    <w:autoRedefine/>
    <w:uiPriority w:val="39"/>
    <w:unhideWhenUsed/>
    <w:rsid w:val="00E03B15"/>
    <w:pPr>
      <w:spacing w:after="100"/>
      <w:ind w:left="220"/>
    </w:pPr>
  </w:style>
  <w:style w:type="paragraph" w:styleId="Verzeichnis4">
    <w:name w:val="toc 4"/>
    <w:basedOn w:val="Standard"/>
    <w:next w:val="Standard"/>
    <w:autoRedefine/>
    <w:uiPriority w:val="39"/>
    <w:unhideWhenUsed/>
    <w:rsid w:val="00E03B15"/>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de-D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5D24"/>
    <w:rPr>
      <w:rFonts w:eastAsiaTheme="minorEastAsia"/>
      <w:sz w:val="22"/>
      <w:lang w:eastAsia="de-DE"/>
    </w:rPr>
  </w:style>
  <w:style w:type="paragraph" w:styleId="berschrift1">
    <w:name w:val="heading 1"/>
    <w:basedOn w:val="Standard"/>
    <w:next w:val="Standard"/>
    <w:link w:val="berschrift1Zchn"/>
    <w:autoRedefine/>
    <w:uiPriority w:val="9"/>
    <w:qFormat/>
    <w:rsid w:val="008447B6"/>
    <w:pPr>
      <w:keepNext/>
      <w:keepLines/>
      <w:spacing w:before="480"/>
      <w:jc w:val="center"/>
      <w:outlineLvl w:val="0"/>
    </w:pPr>
    <w:rPr>
      <w:rFonts w:eastAsiaTheme="majorEastAsia" w:cstheme="majorBidi"/>
      <w:b/>
      <w:bCs/>
      <w:szCs w:val="28"/>
    </w:rPr>
  </w:style>
  <w:style w:type="paragraph" w:styleId="berschrift2">
    <w:name w:val="heading 2"/>
    <w:basedOn w:val="Standard"/>
    <w:next w:val="Standard"/>
    <w:link w:val="berschrift2Zchn"/>
    <w:autoRedefine/>
    <w:uiPriority w:val="9"/>
    <w:unhideWhenUsed/>
    <w:qFormat/>
    <w:rsid w:val="00FC417A"/>
    <w:pPr>
      <w:keepNext/>
      <w:keepLines/>
      <w:spacing w:before="200"/>
      <w:ind w:left="720" w:hanging="360"/>
      <w:jc w:val="center"/>
      <w:outlineLvl w:val="1"/>
    </w:pPr>
    <w:rPr>
      <w:rFonts w:eastAsiaTheme="majorEastAsia" w:cstheme="majorBidi"/>
      <w:b/>
      <w:bCs/>
      <w:szCs w:val="26"/>
    </w:rPr>
  </w:style>
  <w:style w:type="paragraph" w:styleId="berschrift3">
    <w:name w:val="heading 3"/>
    <w:basedOn w:val="Standard"/>
    <w:next w:val="Standard"/>
    <w:link w:val="berschrift3Zchn"/>
    <w:autoRedefine/>
    <w:unhideWhenUsed/>
    <w:qFormat/>
    <w:rsid w:val="004209E4"/>
    <w:pPr>
      <w:keepNext/>
      <w:keepLines/>
      <w:spacing w:before="120" w:line="240" w:lineRule="auto"/>
      <w:ind w:left="2160" w:hanging="360"/>
      <w:jc w:val="left"/>
      <w:outlineLvl w:val="2"/>
    </w:pPr>
    <w:rPr>
      <w:rFonts w:ascii="Times New Roman" w:eastAsiaTheme="majorEastAsia" w:hAnsi="Times New Roman"/>
      <w:bCs/>
      <w:i/>
      <w:spacing w:val="-2"/>
      <w:lang w:eastAsia="en-US"/>
    </w:rPr>
  </w:style>
  <w:style w:type="paragraph" w:styleId="berschrift4">
    <w:name w:val="heading 4"/>
    <w:basedOn w:val="Standard"/>
    <w:next w:val="Standard"/>
    <w:link w:val="berschrift4Zchn"/>
    <w:uiPriority w:val="9"/>
    <w:unhideWhenUsed/>
    <w:qFormat/>
    <w:rsid w:val="00AA591B"/>
    <w:pPr>
      <w:keepNext/>
      <w:keepLines/>
      <w:spacing w:before="200"/>
      <w:outlineLvl w:val="3"/>
    </w:pPr>
    <w:rPr>
      <w:rFonts w:eastAsiaTheme="majorEastAsia"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itat">
    <w:name w:val="Quote"/>
    <w:basedOn w:val="Standard"/>
    <w:next w:val="Standard"/>
    <w:link w:val="ZitatZchn"/>
    <w:autoRedefine/>
    <w:uiPriority w:val="29"/>
    <w:qFormat/>
    <w:rsid w:val="00D21E0A"/>
    <w:pPr>
      <w:spacing w:line="240" w:lineRule="auto"/>
      <w:ind w:left="708"/>
    </w:pPr>
    <w:rPr>
      <w:rFonts w:ascii="Times New Roman" w:hAnsi="Times New Roman"/>
      <w:iCs/>
      <w:color w:val="000000" w:themeColor="text1"/>
      <w:sz w:val="24"/>
      <w:szCs w:val="24"/>
    </w:rPr>
  </w:style>
  <w:style w:type="character" w:customStyle="1" w:styleId="ZitatZchn">
    <w:name w:val="Zitat Zchn"/>
    <w:basedOn w:val="Absatz-Standardschriftart"/>
    <w:link w:val="Zitat"/>
    <w:uiPriority w:val="29"/>
    <w:rsid w:val="00D21E0A"/>
    <w:rPr>
      <w:rFonts w:ascii="Times New Roman" w:eastAsiaTheme="minorEastAsia" w:hAnsi="Times New Roman"/>
      <w:iCs/>
      <w:color w:val="000000" w:themeColor="text1"/>
      <w:sz w:val="24"/>
      <w:szCs w:val="24"/>
      <w:lang w:eastAsia="de-DE"/>
    </w:rPr>
  </w:style>
  <w:style w:type="character" w:customStyle="1" w:styleId="berschrift3Zchn">
    <w:name w:val="Überschrift 3 Zchn"/>
    <w:basedOn w:val="Absatz-Standardschriftart"/>
    <w:link w:val="berschrift3"/>
    <w:rsid w:val="004209E4"/>
    <w:rPr>
      <w:rFonts w:ascii="Times New Roman" w:eastAsiaTheme="majorEastAsia" w:hAnsi="Times New Roman"/>
      <w:bCs/>
      <w:i/>
      <w:spacing w:val="-2"/>
      <w:sz w:val="24"/>
    </w:rPr>
  </w:style>
  <w:style w:type="paragraph" w:customStyle="1" w:styleId="berschrift30">
    <w:name w:val="Überschrift3"/>
    <w:basedOn w:val="Standard"/>
    <w:next w:val="berschrift3"/>
    <w:link w:val="berschrift3Zchn0"/>
    <w:autoRedefine/>
    <w:qFormat/>
    <w:rsid w:val="00782610"/>
    <w:pPr>
      <w:jc w:val="center"/>
    </w:pPr>
    <w:rPr>
      <w:rFonts w:asciiTheme="minorHAnsi" w:hAnsiTheme="minorHAnsi"/>
      <w:szCs w:val="24"/>
    </w:rPr>
  </w:style>
  <w:style w:type="character" w:customStyle="1" w:styleId="berschrift3Zchn0">
    <w:name w:val="Überschrift3 Zchn"/>
    <w:basedOn w:val="Absatz-Standardschriftart"/>
    <w:link w:val="berschrift30"/>
    <w:rsid w:val="00782610"/>
    <w:rPr>
      <w:sz w:val="24"/>
      <w:szCs w:val="24"/>
    </w:rPr>
  </w:style>
  <w:style w:type="character" w:customStyle="1" w:styleId="berschrift2Zchn">
    <w:name w:val="Überschrift 2 Zchn"/>
    <w:basedOn w:val="Absatz-Standardschriftart"/>
    <w:link w:val="berschrift2"/>
    <w:uiPriority w:val="9"/>
    <w:rsid w:val="00FC417A"/>
    <w:rPr>
      <w:rFonts w:eastAsiaTheme="majorEastAsia" w:cstheme="majorBidi"/>
      <w:b/>
      <w:bCs/>
      <w:sz w:val="22"/>
      <w:szCs w:val="26"/>
      <w:lang w:eastAsia="de-DE"/>
    </w:rPr>
  </w:style>
  <w:style w:type="character" w:customStyle="1" w:styleId="berschrift1Zchn">
    <w:name w:val="Überschrift 1 Zchn"/>
    <w:basedOn w:val="Absatz-Standardschriftart"/>
    <w:link w:val="berschrift1"/>
    <w:uiPriority w:val="9"/>
    <w:rsid w:val="008447B6"/>
    <w:rPr>
      <w:rFonts w:eastAsiaTheme="majorEastAsia" w:cstheme="majorBidi"/>
      <w:b/>
      <w:bCs/>
      <w:sz w:val="22"/>
      <w:szCs w:val="28"/>
      <w:lang w:eastAsia="de-DE"/>
    </w:rPr>
  </w:style>
  <w:style w:type="paragraph" w:styleId="KeinLeerraum">
    <w:name w:val="No Spacing"/>
    <w:autoRedefine/>
    <w:uiPriority w:val="1"/>
    <w:qFormat/>
    <w:rsid w:val="00265D24"/>
    <w:pPr>
      <w:spacing w:line="240" w:lineRule="auto"/>
      <w:jc w:val="center"/>
    </w:pPr>
    <w:rPr>
      <w:rFonts w:eastAsiaTheme="minorEastAsia"/>
      <w:sz w:val="22"/>
      <w:lang w:eastAsia="de-DE"/>
    </w:rPr>
  </w:style>
  <w:style w:type="paragraph" w:styleId="Funotentext">
    <w:name w:val="footnote text"/>
    <w:aliases w:val="FA"/>
    <w:basedOn w:val="Standard"/>
    <w:link w:val="FunotentextZchn"/>
    <w:unhideWhenUsed/>
    <w:rsid w:val="008447B6"/>
    <w:pPr>
      <w:spacing w:line="240" w:lineRule="auto"/>
    </w:pPr>
    <w:rPr>
      <w:sz w:val="20"/>
    </w:rPr>
  </w:style>
  <w:style w:type="character" w:customStyle="1" w:styleId="FunotentextZchn">
    <w:name w:val="Fußnotentext Zchn"/>
    <w:aliases w:val="FA Zchn"/>
    <w:basedOn w:val="Absatz-Standardschriftart"/>
    <w:link w:val="Funotentext"/>
    <w:rsid w:val="008447B6"/>
    <w:rPr>
      <w:rFonts w:eastAsiaTheme="minorEastAsia"/>
      <w:lang w:eastAsia="de-DE"/>
    </w:rPr>
  </w:style>
  <w:style w:type="character" w:styleId="Funotenzeichen">
    <w:name w:val="footnote reference"/>
    <w:basedOn w:val="Absatz-Standardschriftart"/>
    <w:uiPriority w:val="99"/>
    <w:rsid w:val="008447B6"/>
    <w:rPr>
      <w:rFonts w:ascii="Arial" w:hAnsi="Arial" w:cs="Arial" w:hint="default"/>
      <w:color w:val="auto"/>
      <w:sz w:val="20"/>
      <w:vertAlign w:val="superscript"/>
    </w:rPr>
  </w:style>
  <w:style w:type="paragraph" w:styleId="Sprechblasentext">
    <w:name w:val="Balloon Text"/>
    <w:basedOn w:val="Standard"/>
    <w:link w:val="SprechblasentextZchn"/>
    <w:uiPriority w:val="99"/>
    <w:semiHidden/>
    <w:unhideWhenUsed/>
    <w:rsid w:val="002E6F6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6F68"/>
    <w:rPr>
      <w:rFonts w:ascii="Tahoma" w:eastAsiaTheme="minorEastAsia" w:hAnsi="Tahoma" w:cs="Tahoma"/>
      <w:sz w:val="16"/>
      <w:szCs w:val="16"/>
      <w:lang w:eastAsia="de-DE"/>
    </w:rPr>
  </w:style>
  <w:style w:type="paragraph" w:styleId="Kopfzeile">
    <w:name w:val="header"/>
    <w:basedOn w:val="Standard"/>
    <w:link w:val="KopfzeileZchn"/>
    <w:uiPriority w:val="99"/>
    <w:unhideWhenUsed/>
    <w:rsid w:val="00AA591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A591B"/>
    <w:rPr>
      <w:rFonts w:eastAsiaTheme="minorEastAsia"/>
      <w:sz w:val="22"/>
      <w:lang w:eastAsia="de-DE"/>
    </w:rPr>
  </w:style>
  <w:style w:type="paragraph" w:styleId="Fuzeile">
    <w:name w:val="footer"/>
    <w:basedOn w:val="Standard"/>
    <w:link w:val="FuzeileZchn"/>
    <w:uiPriority w:val="99"/>
    <w:unhideWhenUsed/>
    <w:rsid w:val="00AA591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A591B"/>
    <w:rPr>
      <w:rFonts w:eastAsiaTheme="minorEastAsia"/>
      <w:sz w:val="22"/>
      <w:lang w:eastAsia="de-DE"/>
    </w:rPr>
  </w:style>
  <w:style w:type="character" w:customStyle="1" w:styleId="berschrift4Zchn">
    <w:name w:val="Überschrift 4 Zchn"/>
    <w:basedOn w:val="Absatz-Standardschriftart"/>
    <w:link w:val="berschrift4"/>
    <w:uiPriority w:val="9"/>
    <w:rsid w:val="00AA591B"/>
    <w:rPr>
      <w:rFonts w:eastAsiaTheme="majorEastAsia" w:cstheme="majorBidi"/>
      <w:bCs/>
      <w:i/>
      <w:iCs/>
      <w:sz w:val="22"/>
      <w:lang w:eastAsia="de-DE"/>
    </w:rPr>
  </w:style>
  <w:style w:type="character" w:styleId="Hyperlink">
    <w:name w:val="Hyperlink"/>
    <w:basedOn w:val="Absatz-Standardschriftart"/>
    <w:uiPriority w:val="99"/>
    <w:unhideWhenUsed/>
    <w:rsid w:val="00C40012"/>
    <w:rPr>
      <w:color w:val="0000FF" w:themeColor="hyperlink"/>
      <w:u w:val="single"/>
    </w:rPr>
  </w:style>
  <w:style w:type="paragraph" w:customStyle="1" w:styleId="Fall">
    <w:name w:val="Fall"/>
    <w:basedOn w:val="Standard"/>
    <w:next w:val="Standard"/>
    <w:rsid w:val="00940178"/>
    <w:pPr>
      <w:spacing w:line="240" w:lineRule="auto"/>
      <w:ind w:firstLine="170"/>
    </w:pPr>
    <w:rPr>
      <w:rFonts w:ascii="Times New Roman" w:eastAsia="Times New Roman" w:hAnsi="Times New Roman"/>
      <w:sz w:val="18"/>
    </w:rPr>
  </w:style>
  <w:style w:type="paragraph" w:customStyle="1" w:styleId="FormatvorlageBlockZeilenabstand15Zeilen">
    <w:name w:val="Formatvorlage Block Zeilenabstand:  15 Zeilen"/>
    <w:basedOn w:val="Standard"/>
    <w:rsid w:val="00940178"/>
    <w:pPr>
      <w:spacing w:line="312" w:lineRule="auto"/>
    </w:pPr>
    <w:rPr>
      <w:rFonts w:ascii="Times New Roman" w:eastAsia="Times New Roman" w:hAnsi="Times New Roman"/>
    </w:rPr>
  </w:style>
  <w:style w:type="paragraph" w:styleId="NurText">
    <w:name w:val="Plain Text"/>
    <w:basedOn w:val="Standard"/>
    <w:link w:val="NurTextZchn"/>
    <w:uiPriority w:val="99"/>
    <w:semiHidden/>
    <w:unhideWhenUsed/>
    <w:rsid w:val="00303D79"/>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303D79"/>
    <w:rPr>
      <w:rFonts w:ascii="Consolas" w:eastAsiaTheme="minorEastAsia" w:hAnsi="Consolas" w:cs="Consolas"/>
      <w:sz w:val="21"/>
      <w:szCs w:val="21"/>
      <w:lang w:eastAsia="de-DE"/>
    </w:rPr>
  </w:style>
  <w:style w:type="paragraph" w:styleId="Listenabsatz">
    <w:name w:val="List Paragraph"/>
    <w:basedOn w:val="Standard"/>
    <w:uiPriority w:val="34"/>
    <w:qFormat/>
    <w:rsid w:val="001E6723"/>
    <w:pPr>
      <w:ind w:left="720"/>
      <w:contextualSpacing/>
    </w:pPr>
  </w:style>
  <w:style w:type="character" w:styleId="Fett">
    <w:name w:val="Strong"/>
    <w:basedOn w:val="Absatz-Standardschriftart"/>
    <w:uiPriority w:val="22"/>
    <w:qFormat/>
    <w:rsid w:val="00377143"/>
    <w:rPr>
      <w:b/>
      <w:bCs/>
    </w:rPr>
  </w:style>
  <w:style w:type="paragraph" w:styleId="Verzeichnis1">
    <w:name w:val="toc 1"/>
    <w:basedOn w:val="Standard"/>
    <w:next w:val="Standard"/>
    <w:autoRedefine/>
    <w:uiPriority w:val="39"/>
    <w:unhideWhenUsed/>
    <w:rsid w:val="00E03B15"/>
    <w:pPr>
      <w:spacing w:after="100"/>
    </w:pPr>
  </w:style>
  <w:style w:type="paragraph" w:styleId="Verzeichnis2">
    <w:name w:val="toc 2"/>
    <w:basedOn w:val="Standard"/>
    <w:next w:val="Standard"/>
    <w:autoRedefine/>
    <w:uiPriority w:val="39"/>
    <w:unhideWhenUsed/>
    <w:rsid w:val="00E03B15"/>
    <w:pPr>
      <w:spacing w:after="100"/>
      <w:ind w:left="220"/>
    </w:pPr>
  </w:style>
  <w:style w:type="paragraph" w:styleId="Verzeichnis4">
    <w:name w:val="toc 4"/>
    <w:basedOn w:val="Standard"/>
    <w:next w:val="Standard"/>
    <w:autoRedefine/>
    <w:uiPriority w:val="39"/>
    <w:unhideWhenUsed/>
    <w:rsid w:val="00E03B15"/>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2943">
      <w:bodyDiv w:val="1"/>
      <w:marLeft w:val="0"/>
      <w:marRight w:val="0"/>
      <w:marTop w:val="0"/>
      <w:marBottom w:val="0"/>
      <w:divBdr>
        <w:top w:val="none" w:sz="0" w:space="0" w:color="auto"/>
        <w:left w:val="none" w:sz="0" w:space="0" w:color="auto"/>
        <w:bottom w:val="none" w:sz="0" w:space="0" w:color="auto"/>
        <w:right w:val="none" w:sz="0" w:space="0" w:color="auto"/>
      </w:divBdr>
    </w:div>
    <w:div w:id="515773748">
      <w:bodyDiv w:val="1"/>
      <w:marLeft w:val="0"/>
      <w:marRight w:val="0"/>
      <w:marTop w:val="0"/>
      <w:marBottom w:val="0"/>
      <w:divBdr>
        <w:top w:val="none" w:sz="0" w:space="0" w:color="auto"/>
        <w:left w:val="none" w:sz="0" w:space="0" w:color="auto"/>
        <w:bottom w:val="none" w:sz="0" w:space="0" w:color="auto"/>
        <w:right w:val="none" w:sz="0" w:space="0" w:color="auto"/>
      </w:divBdr>
    </w:div>
    <w:div w:id="554396999">
      <w:bodyDiv w:val="1"/>
      <w:marLeft w:val="0"/>
      <w:marRight w:val="0"/>
      <w:marTop w:val="0"/>
      <w:marBottom w:val="0"/>
      <w:divBdr>
        <w:top w:val="none" w:sz="0" w:space="0" w:color="auto"/>
        <w:left w:val="none" w:sz="0" w:space="0" w:color="auto"/>
        <w:bottom w:val="none" w:sz="0" w:space="0" w:color="auto"/>
        <w:right w:val="none" w:sz="0" w:space="0" w:color="auto"/>
      </w:divBdr>
    </w:div>
    <w:div w:id="1842155139">
      <w:bodyDiv w:val="1"/>
      <w:marLeft w:val="0"/>
      <w:marRight w:val="0"/>
      <w:marTop w:val="0"/>
      <w:marBottom w:val="0"/>
      <w:divBdr>
        <w:top w:val="none" w:sz="0" w:space="0" w:color="auto"/>
        <w:left w:val="none" w:sz="0" w:space="0" w:color="auto"/>
        <w:bottom w:val="none" w:sz="0" w:space="0" w:color="auto"/>
        <w:right w:val="none" w:sz="0" w:space="0" w:color="auto"/>
      </w:divBdr>
    </w:div>
    <w:div w:id="19491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uris.de/jportal/portal/t/wm3/page/jurisw.psml?pid=Dokumentanzeige&amp;showdoccase=1&amp;js_peid=Trefferliste&amp;documentnumber=1&amp;numberofresults=2&amp;fromdoctodoc=yes&amp;doc.id=BJNR000010949BJNE004104160&amp;doc.part=S&amp;doc.price=0.0" TargetMode="External"/><Relationship Id="rId5" Type="http://schemas.openxmlformats.org/officeDocument/2006/relationships/settings" Target="settings.xml"/><Relationship Id="rId10" Type="http://schemas.openxmlformats.org/officeDocument/2006/relationships/hyperlink" Target="https://www.juris.de/jportal/portal/t/wm3/page/jurisw.psml?pid=Dokumentanzeige&amp;showdoccase=1&amp;js_peid=Trefferliste&amp;documentnumber=1&amp;numberofresults=2&amp;fromdoctodoc=yes&amp;doc.id=BJNR000010949BJNE010300314&amp;doc.part=S&amp;doc.price=0.0" TargetMode="External"/><Relationship Id="rId4" Type="http://schemas.microsoft.com/office/2007/relationships/stylesWithEffects" Target="stylesWithEffects.xml"/><Relationship Id="rId9" Type="http://schemas.openxmlformats.org/officeDocument/2006/relationships/hyperlink" Target="https://www.juris.de/jportal/portal/t/wm3/page/jurisw.psml?pid=Dokumentanzeige&amp;showdoccase=1&amp;js_peid=Trefferliste&amp;documentnumber=1&amp;numberofresults=2&amp;fromdoctodoc=yes&amp;doc.id=BJNR000010949BJNE004104160&amp;doc.part=S&amp;doc.price=0.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juris.de/jportal/portal/t/wm3/page/jurisw.psml?pid=Dokumentanzeige&amp;showdoccase=1&amp;js_peid=Trefferliste&amp;documentnumber=1&amp;numberofresults=2&amp;fromdoctodoc=yes&amp;doc.id=KVRE404901401&amp;doc.part=K&amp;doc.price=0.0" TargetMode="External"/><Relationship Id="rId3" Type="http://schemas.openxmlformats.org/officeDocument/2006/relationships/hyperlink" Target="https://www.juris.de/jportal/portal/t/wm3/page/jurisw.psml?pid=Dokumentanzeige&amp;showdoccase=1&amp;js_peid=Trefferliste&amp;documentnumber=1&amp;numberofresults=2&amp;fromdoctodoc=yes&amp;doc.id=KVRE412011501&amp;doc.part=L&amp;doc.price=0.0" TargetMode="External"/><Relationship Id="rId7" Type="http://schemas.openxmlformats.org/officeDocument/2006/relationships/hyperlink" Target="https://www.juris.de/jportal/portal/t/wm3/page/jurisw.psml?pid=Dokumentanzeige&amp;showdoccase=1&amp;js_peid=Trefferliste&amp;documentnumber=1&amp;numberofresults=2&amp;fromdoctodoc=yes&amp;doc.id=KVRE395491101&amp;doc.part=K&amp;doc.price=0.0" TargetMode="External"/><Relationship Id="rId12" Type="http://schemas.openxmlformats.org/officeDocument/2006/relationships/hyperlink" Target="http://www.hoejesteret.dk/hoejesteret/nyheder/Afgorelser/Documents/15-2014.pdf" TargetMode="External"/><Relationship Id="rId2" Type="http://schemas.openxmlformats.org/officeDocument/2006/relationships/hyperlink" Target="https://www.juris.de/jportal/portal/t/wm3/page/jurisw.psml?pid=Dokumentanzeige&amp;showdoccase=1&amp;js_peid=Trefferliste&amp;documentnumber=1&amp;numberofresults=2&amp;fromdoctodoc=yes&amp;doc.id=KVRE412011501&amp;doc.part=K&amp;doc.price=0.0" TargetMode="External"/><Relationship Id="rId1" Type="http://schemas.openxmlformats.org/officeDocument/2006/relationships/hyperlink" Target="https://www.juris.de/jportal/portal/t/wm3/page/jurisw.psml?pid=Dokumentanzeige&amp;showdoccase=1&amp;js_peid=Trefferliste&amp;documentnumber=1&amp;numberofresults=2&amp;fromdoctodoc=yes&amp;doc.id=KVRE389471001&amp;doc.part=K&amp;doc.price=0.0" TargetMode="External"/><Relationship Id="rId6" Type="http://schemas.openxmlformats.org/officeDocument/2006/relationships/hyperlink" Target="https://www.juris.de/jportal/portal/t/wm3/page/jurisw.psml?pid=Dokumentanzeige&amp;showdoccase=1&amp;js_peid=Trefferliste&amp;documentnumber=1&amp;numberofresults=2&amp;fromdoctodoc=yes&amp;doc.id=KVRE389471001&amp;doc.part=K&amp;doc.price=0.0" TargetMode="External"/><Relationship Id="rId11" Type="http://schemas.openxmlformats.org/officeDocument/2006/relationships/hyperlink" Target="https://www.juris.de/jportal/portal/t/1gml/page/jurisw.psml?pid=Dokumentanzeige&amp;showdoccase=1&amp;js_peid=Trefferliste&amp;documentnumber=1&amp;numberofresults=2&amp;fromdoctodoc=yes&amp;doc.id=KVRE404901401&amp;doc.part=K&amp;doc.price=0.0" TargetMode="External"/><Relationship Id="rId5" Type="http://schemas.openxmlformats.org/officeDocument/2006/relationships/hyperlink" Target="https://www.juris.de/jportal/portal/t/wm3/page/jurisw.psml?pid=Dokumentanzeige&amp;showdoccase=1&amp;js_peid=Trefferliste&amp;documentnumber=1&amp;numberofresults=2&amp;fromdoctodoc=yes&amp;doc.id=KSRE002190003&amp;doc.part=K&amp;doc.price=0.0" TargetMode="External"/><Relationship Id="rId10" Type="http://schemas.openxmlformats.org/officeDocument/2006/relationships/hyperlink" Target="https://www.juris.de/jportal/portal/t/1gml/page/jurisw.psml?pid=Dokumentanzeige&amp;showdoccase=1&amp;js_peid=Trefferliste&amp;documentnumber=1&amp;numberofresults=2&amp;fromdoctodoc=yes&amp;doc.id=KVRE389471001&amp;doc.part=K&amp;doc.price=0.0" TargetMode="External"/><Relationship Id="rId4" Type="http://schemas.openxmlformats.org/officeDocument/2006/relationships/hyperlink" Target="https://www.juris.de/jportal/portal/t/wm3/page/jurisw.psml?pid=Dokumentanzeige&amp;showdoccase=1&amp;js_peid=Trefferliste&amp;documentnumber=1&amp;numberofresults=2&amp;fromdoctodoc=yes&amp;doc.id=KVRE383430901&amp;doc.part=K&amp;doc.price=0.0" TargetMode="External"/><Relationship Id="rId9" Type="http://schemas.openxmlformats.org/officeDocument/2006/relationships/hyperlink" Target="https://www.juris.de/jportal/portal/t/wm3/page/jurisw.psml?pid=Dokumentanzeige&amp;showdoccase=1&amp;js_peid=Trefferliste&amp;documentnumber=1&amp;numberofresults=2&amp;fromdoctodoc=yes&amp;doc.id=KVRE404901401&amp;doc.part=K&amp;doc.price=0.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2955B-22C7-4C46-84F7-8EB743A1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8293</Words>
  <Characters>52252</Characters>
  <Application>Microsoft Office Word</Application>
  <DocSecurity>0</DocSecurity>
  <Lines>435</Lines>
  <Paragraphs>120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 Huber</dc:creator>
  <cp:lastModifiedBy>Peter M. Huber</cp:lastModifiedBy>
  <cp:revision>2</cp:revision>
  <cp:lastPrinted>2017-11-13T17:49:00Z</cp:lastPrinted>
  <dcterms:created xsi:type="dcterms:W3CDTF">2018-04-26T08:21:00Z</dcterms:created>
  <dcterms:modified xsi:type="dcterms:W3CDTF">2018-04-26T08:21:00Z</dcterms:modified>
</cp:coreProperties>
</file>